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C0" w:rsidRDefault="00153FC0">
      <w:r>
        <w:t>Tennessee State Law Study Guide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21D50">
        <w:trPr>
          <w:cantSplit/>
        </w:trPr>
        <w:tc>
          <w:tcPr>
            <w:tcW w:w="10800" w:type="dxa"/>
          </w:tcPr>
          <w:p w:rsidR="00153FC0" w:rsidRDefault="00153FC0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There are _______________ members on the Tennessee State Board of Cosmetology.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2)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 xml:space="preserve">The _______________ appoints these members. 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3)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_______________ of these members must be a licensed _______________.</w:t>
                  </w:r>
                </w:p>
                <w:p w:rsidR="00C16A2B" w:rsidRDefault="00C16A2B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4)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One of these members must be at least _______________ years of age.</w:t>
                  </w:r>
                </w:p>
              </w:tc>
            </w:tr>
          </w:tbl>
          <w:p w:rsidR="00F21D50" w:rsidRDefault="00C6551D">
            <w:pPr>
              <w:pStyle w:val="QuestionSpaceStyle"/>
            </w:pPr>
            <w:r>
              <w:t xml:space="preserve"> </w:t>
            </w: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5)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To apply for admission to cosmetology school you must be at least _______________ years old, have passed 2 years of high school or received at least a 38% on your G.E.D. examination</w:t>
                  </w:r>
                  <w:r w:rsidR="00C16A2B">
                    <w:t>.</w:t>
                  </w:r>
                </w:p>
              </w:tc>
            </w:tr>
          </w:tbl>
          <w:p w:rsidR="00F21D50" w:rsidRDefault="00C6551D">
            <w:pPr>
              <w:pStyle w:val="QuestionSpaceStyle"/>
            </w:pPr>
            <w:r>
              <w:t xml:space="preserve"> </w:t>
            </w: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6)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_______________ and _______________ schools are exempt f</w:t>
                  </w:r>
                  <w:r w:rsidR="00C16A2B">
                    <w:t>ro</w:t>
                  </w:r>
                  <w:r>
                    <w:t>m these restrictions.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7)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Each student has _______________ years from the date the student originally enrolls in a school to complete the required course and number of hours required when the student originally enrolls.</w:t>
                  </w:r>
                </w:p>
              </w:tc>
            </w:tr>
          </w:tbl>
          <w:p w:rsidR="00F21D50" w:rsidRDefault="00C6551D">
            <w:pPr>
              <w:pStyle w:val="QuestionSpaceStyle"/>
            </w:pPr>
            <w:r>
              <w:t xml:space="preserve"> </w:t>
            </w: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8)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No teaching of cosmetology, whether to students or licenses, is lawful except in a duly operated _______________.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9)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An instructor  may only perform services in a school as a _______________.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10)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An instructor must receive _______________ hours of continuing education every _______________ years to maintain their license.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11)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If someone is a licensed barber and wants to apply for a cosmetology license, after completing 300 hours learning cosmetology fundamentals and pedicuring, they can receive credit for the remaining 1200 hours.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12)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The minimum passing score on all examinations must be at least a _______________.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13)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An individual must apply for their license within _______________ months after notification of passing the state board exam.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14)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The school a student attends for  _______________ or the greatest percentage of all hours, including hours obtained through an apprenticeship program, will be the school responsible for the pass/fail ratio.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15)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If an individual doesn't apply for their license within 6 months, they must _______________, _______________ and _______________.</w:t>
                  </w:r>
                </w:p>
                <w:p w:rsidR="00F21D50" w:rsidRDefault="00F21D50"/>
              </w:tc>
            </w:tr>
          </w:tbl>
          <w:p w:rsidR="00F21D50" w:rsidRDefault="00C6551D">
            <w:pPr>
              <w:pStyle w:val="QuestionSpaceStyle"/>
            </w:pPr>
            <w:r>
              <w:t xml:space="preserve"> </w:t>
            </w: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16)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An individual who has passed and applied for their license may start working a shop _______________, as long as they have the _______________ of passing the required exam and a copy of their _______________  made payable to the State of Tennessee as proof that have sent off for their license.</w:t>
                  </w:r>
                </w:p>
              </w:tc>
            </w:tr>
          </w:tbl>
          <w:p w:rsidR="00F21D50" w:rsidRDefault="00C6551D">
            <w:pPr>
              <w:pStyle w:val="QuestionSpaceStyle"/>
            </w:pPr>
            <w:r>
              <w:t xml:space="preserve"> </w:t>
            </w: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17)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Your license must be displayed at your _______________.</w:t>
                  </w:r>
                </w:p>
              </w:tc>
            </w:tr>
          </w:tbl>
          <w:p w:rsidR="00F21D50" w:rsidRDefault="00C6551D">
            <w:pPr>
              <w:pStyle w:val="QuestionSpaceStyle"/>
            </w:pPr>
            <w:r>
              <w:t xml:space="preserve"> </w:t>
            </w: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lastRenderedPageBreak/>
                    <w:t>18)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If you move you must notify state board within _______________ days.</w:t>
                  </w:r>
                </w:p>
              </w:tc>
            </w:tr>
          </w:tbl>
          <w:p w:rsidR="00F21D50" w:rsidRDefault="00C6551D">
            <w:pPr>
              <w:pStyle w:val="QuestionSpaceStyle"/>
            </w:pPr>
            <w:r>
              <w:t xml:space="preserve"> </w:t>
            </w: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19)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The fee for your original license is _______________ dollars.</w:t>
                  </w:r>
                </w:p>
              </w:tc>
            </w:tr>
          </w:tbl>
          <w:p w:rsidR="00F21D50" w:rsidRDefault="00C6551D">
            <w:pPr>
              <w:pStyle w:val="QuestionSpaceStyle"/>
            </w:pPr>
            <w:r>
              <w:t xml:space="preserve"> </w:t>
            </w:r>
          </w:p>
        </w:tc>
      </w:tr>
      <w:tr w:rsidR="00F21D50">
        <w:trPr>
          <w:cantSplit/>
        </w:trPr>
        <w:tc>
          <w:tcPr>
            <w:tcW w:w="1080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10182"/>
            </w:tblGrid>
            <w:tr w:rsidR="00F21D50" w:rsidTr="00153FC0">
              <w:trPr>
                <w:trHeight w:val="603"/>
              </w:trPr>
              <w:tc>
                <w:tcPr>
                  <w:tcW w:w="618" w:type="dxa"/>
                  <w:noWrap/>
                </w:tcPr>
                <w:p w:rsidR="00F21D50" w:rsidRDefault="00C6551D">
                  <w:pPr>
                    <w:jc w:val="right"/>
                  </w:pPr>
                  <w:r>
                    <w:t>20)</w:t>
                  </w:r>
                </w:p>
              </w:tc>
              <w:tc>
                <w:tcPr>
                  <w:tcW w:w="10182" w:type="dxa"/>
                </w:tcPr>
                <w:p w:rsidR="00F21D50" w:rsidRDefault="00C6551D">
                  <w:r>
                    <w:t>Your license must be renewed every _______________ years.</w:t>
                  </w:r>
                </w:p>
                <w:p w:rsidR="00F21D50" w:rsidRDefault="00F21D50"/>
              </w:tc>
            </w:tr>
          </w:tbl>
          <w:p w:rsidR="00F21D50" w:rsidRDefault="00F21D50">
            <w:pPr>
              <w:pStyle w:val="QuestionSpaceStyle"/>
            </w:pPr>
          </w:p>
        </w:tc>
      </w:tr>
      <w:tr w:rsidR="00F21D50">
        <w:trPr>
          <w:cantSplit/>
        </w:trPr>
        <w:tc>
          <w:tcPr>
            <w:tcW w:w="10800" w:type="dxa"/>
          </w:tcPr>
          <w:p w:rsidR="00F21D50" w:rsidRDefault="00F21D50">
            <w:pPr>
              <w:pStyle w:val="QuestionSpaceStyle"/>
            </w:pPr>
          </w:p>
        </w:tc>
      </w:tr>
    </w:tbl>
    <w:p w:rsidR="00C6551D" w:rsidRDefault="00C6551D"/>
    <w:sectPr w:rsidR="00C6551D">
      <w:pgSz w:w="12240" w:h="15840"/>
      <w:pgMar w:top="720" w:right="720" w:bottom="720" w:left="72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50"/>
    <w:rsid w:val="00153FC0"/>
    <w:rsid w:val="00271DA7"/>
    <w:rsid w:val="00291D4F"/>
    <w:rsid w:val="00C16A2B"/>
    <w:rsid w:val="00C6551D"/>
    <w:rsid w:val="00F21D50"/>
    <w:rsid w:val="00F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A8CAA"/>
  <w15:docId w15:val="{EDD4247F-530A-5D4F-8690-9F1744EC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rPr>
      <w:rFonts w:ascii="Arial" w:eastAsia="Arial" w:hAnsi="Arial" w:cs="Arial"/>
    </w:rPr>
  </w:style>
  <w:style w:type="paragraph" w:customStyle="1" w:styleId="DefaultParagraphFont1">
    <w:name w:val="Default Paragraph Font1"/>
    <w:basedOn w:val="Normal0"/>
  </w:style>
  <w:style w:type="paragraph" w:customStyle="1" w:styleId="AnswerStyle">
    <w:name w:val="AnswerStyle"/>
    <w:basedOn w:val="Normal0"/>
    <w:rPr>
      <w:b/>
      <w:i/>
      <w:color w:val="008000"/>
    </w:rPr>
  </w:style>
  <w:style w:type="paragraph" w:customStyle="1" w:styleId="ResultStyle">
    <w:name w:val="ResultStyle"/>
    <w:basedOn w:val="Normal0"/>
    <w:rPr>
      <w:b/>
      <w:color w:val="FFFFFF"/>
      <w:highlight w:val="blue"/>
    </w:rPr>
  </w:style>
  <w:style w:type="paragraph" w:customStyle="1" w:styleId="QuestionSpaceStyle">
    <w:name w:val="QuestionSpaceStyle"/>
    <w:basedOn w:val="Normal0"/>
    <w:rPr>
      <w:sz w:val="20"/>
    </w:rPr>
  </w:style>
  <w:style w:type="paragraph" w:customStyle="1" w:styleId="PageHeader">
    <w:name w:val="PageHeader"/>
    <w:basedOn w:val="Normal0"/>
    <w:pPr>
      <w:spacing w:after="100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Law Study Guide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Law Study Guide</dc:title>
  <dc:subject>Generated by www.EasyTestMaker.com</dc:subject>
  <dc:creator>EasyTestMaker</dc:creator>
  <dc:description>Generated on Friday, October 11, 2019 at 1:02 PM</dc:description>
  <cp:lastModifiedBy>Nutt, Dawn</cp:lastModifiedBy>
  <cp:revision>3</cp:revision>
  <cp:lastPrinted>2019-10-11T17:24:00Z</cp:lastPrinted>
  <dcterms:created xsi:type="dcterms:W3CDTF">2020-04-02T17:37:00Z</dcterms:created>
  <dcterms:modified xsi:type="dcterms:W3CDTF">2020-04-02T17:40:00Z</dcterms:modified>
</cp:coreProperties>
</file>