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4862" w14:textId="77777777" w:rsidR="0000084B" w:rsidRDefault="00203084" w:rsidP="006437CC">
      <w:pPr>
        <w:jc w:val="center"/>
        <w:rPr>
          <w:b/>
          <w:sz w:val="32"/>
        </w:rPr>
      </w:pPr>
      <w:r>
        <w:rPr>
          <w:b/>
          <w:sz w:val="32"/>
        </w:rPr>
        <w:t>L.E #1</w:t>
      </w:r>
      <w:r w:rsidRPr="00B249A3">
        <w:rPr>
          <w:b/>
          <w:sz w:val="32"/>
        </w:rPr>
        <w:t xml:space="preserve"> </w:t>
      </w:r>
      <w:r w:rsidR="00ED2074">
        <w:rPr>
          <w:b/>
          <w:sz w:val="32"/>
        </w:rPr>
        <w:t>Vocab</w:t>
      </w:r>
      <w:r w:rsidR="0000084B">
        <w:rPr>
          <w:b/>
          <w:sz w:val="32"/>
        </w:rPr>
        <w:t xml:space="preserve"> </w:t>
      </w:r>
      <w:r w:rsidR="000867D4">
        <w:rPr>
          <w:b/>
          <w:sz w:val="32"/>
        </w:rPr>
        <w:t>Review</w:t>
      </w:r>
    </w:p>
    <w:p w14:paraId="593EFDC3" w14:textId="4D5B805E" w:rsidR="00ED2074" w:rsidRDefault="0000084B" w:rsidP="006437CC">
      <w:pPr>
        <w:jc w:val="center"/>
        <w:rPr>
          <w:b/>
          <w:sz w:val="32"/>
        </w:rPr>
      </w:pPr>
      <w:r>
        <w:rPr>
          <w:b/>
          <w:sz w:val="32"/>
        </w:rPr>
        <w:t xml:space="preserve"> Assignment 3</w:t>
      </w:r>
      <w:r w:rsidR="00AA7123">
        <w:rPr>
          <w:b/>
          <w:sz w:val="32"/>
        </w:rPr>
        <w:t xml:space="preserve"> Exercise</w:t>
      </w:r>
    </w:p>
    <w:p w14:paraId="3707F326" w14:textId="77777777" w:rsidR="0030708B" w:rsidRPr="00897308" w:rsidRDefault="0030708B" w:rsidP="0030708B">
      <w:pPr>
        <w:rPr>
          <w:bCs/>
          <w:iCs/>
          <w:color w:val="FF0000"/>
          <w:sz w:val="28"/>
          <w:szCs w:val="28"/>
        </w:rPr>
      </w:pPr>
      <w:r w:rsidRPr="00897308">
        <w:rPr>
          <w:bCs/>
          <w:iCs/>
          <w:color w:val="FF0000"/>
          <w:sz w:val="28"/>
          <w:szCs w:val="28"/>
        </w:rPr>
        <w:t>Review the terms and then complete th</w:t>
      </w:r>
      <w:r>
        <w:rPr>
          <w:bCs/>
          <w:iCs/>
          <w:color w:val="FF0000"/>
          <w:sz w:val="28"/>
          <w:szCs w:val="28"/>
        </w:rPr>
        <w:t>e below vocabulary</w:t>
      </w:r>
      <w:r w:rsidRPr="00897308">
        <w:rPr>
          <w:bCs/>
          <w:iCs/>
          <w:color w:val="FF0000"/>
          <w:sz w:val="28"/>
          <w:szCs w:val="28"/>
        </w:rPr>
        <w:t xml:space="preserve"> exercise, and email it to your Criminal Justice </w:t>
      </w:r>
      <w:r>
        <w:rPr>
          <w:bCs/>
          <w:iCs/>
          <w:color w:val="FF0000"/>
          <w:sz w:val="28"/>
          <w:szCs w:val="28"/>
        </w:rPr>
        <w:t>t</w:t>
      </w:r>
      <w:r w:rsidRPr="00897308">
        <w:rPr>
          <w:bCs/>
          <w:iCs/>
          <w:color w:val="FF0000"/>
          <w:sz w:val="28"/>
          <w:szCs w:val="28"/>
        </w:rPr>
        <w:t>eacher via email:</w:t>
      </w:r>
    </w:p>
    <w:p w14:paraId="4707BC8A" w14:textId="77777777" w:rsidR="0030708B" w:rsidRPr="00897308" w:rsidRDefault="0030708B" w:rsidP="0030708B">
      <w:pPr>
        <w:rPr>
          <w:bCs/>
          <w:iCs/>
          <w:color w:val="FF0000"/>
          <w:sz w:val="28"/>
          <w:szCs w:val="28"/>
        </w:rPr>
      </w:pPr>
      <w:hyperlink r:id="rId4" w:history="1">
        <w:r w:rsidRPr="00427759">
          <w:rPr>
            <w:rStyle w:val="Hyperlink"/>
            <w:bCs/>
            <w:iCs/>
            <w:sz w:val="28"/>
            <w:szCs w:val="28"/>
          </w:rPr>
          <w:t>lrovery2@bartlettschools.org</w:t>
        </w:r>
      </w:hyperlink>
      <w:r w:rsidRPr="00897308">
        <w:rPr>
          <w:bCs/>
          <w:iCs/>
          <w:color w:val="FF0000"/>
          <w:sz w:val="28"/>
          <w:szCs w:val="28"/>
        </w:rPr>
        <w:t xml:space="preserve"> </w:t>
      </w:r>
    </w:p>
    <w:p w14:paraId="0ED8DBC5" w14:textId="77777777" w:rsidR="0030708B" w:rsidRPr="00897308" w:rsidRDefault="0030708B" w:rsidP="0030708B">
      <w:pPr>
        <w:rPr>
          <w:bCs/>
          <w:iCs/>
          <w:color w:val="FF0000"/>
          <w:sz w:val="28"/>
          <w:szCs w:val="28"/>
        </w:rPr>
      </w:pPr>
      <w:hyperlink r:id="rId5" w:history="1">
        <w:r w:rsidRPr="00897308">
          <w:rPr>
            <w:rStyle w:val="Hyperlink"/>
            <w:bCs/>
            <w:iCs/>
            <w:color w:val="FF0000"/>
            <w:sz w:val="28"/>
            <w:szCs w:val="28"/>
          </w:rPr>
          <w:t>rriding@bartlettschools.org</w:t>
        </w:r>
      </w:hyperlink>
      <w:r w:rsidRPr="00897308">
        <w:rPr>
          <w:bCs/>
          <w:iCs/>
          <w:color w:val="FF0000"/>
          <w:sz w:val="28"/>
          <w:szCs w:val="28"/>
        </w:rPr>
        <w:t xml:space="preserve"> </w:t>
      </w:r>
    </w:p>
    <w:p w14:paraId="10CDDF9D" w14:textId="3073BBAE" w:rsidR="000867D4" w:rsidRPr="00F445E6" w:rsidRDefault="0030708B" w:rsidP="0030708B">
      <w:pPr>
        <w:rPr>
          <w:bCs/>
          <w:iCs/>
          <w:color w:val="FF0000"/>
          <w:sz w:val="28"/>
          <w:szCs w:val="28"/>
        </w:rPr>
      </w:pPr>
      <w:hyperlink r:id="rId6" w:history="1">
        <w:r w:rsidRPr="00897308">
          <w:rPr>
            <w:rStyle w:val="Hyperlink"/>
            <w:bCs/>
            <w:iCs/>
            <w:color w:val="FF0000"/>
            <w:sz w:val="28"/>
            <w:szCs w:val="28"/>
          </w:rPr>
          <w:t>rschwill@bartlettschools.org</w:t>
        </w:r>
      </w:hyperlink>
    </w:p>
    <w:tbl>
      <w:tblPr>
        <w:tblStyle w:val="TableGrid"/>
        <w:tblW w:w="0" w:type="auto"/>
        <w:tblLook w:val="01E0" w:firstRow="1" w:lastRow="1" w:firstColumn="1" w:lastColumn="1" w:noHBand="0" w:noVBand="0"/>
      </w:tblPr>
      <w:tblGrid>
        <w:gridCol w:w="465"/>
        <w:gridCol w:w="3862"/>
        <w:gridCol w:w="412"/>
        <w:gridCol w:w="4611"/>
      </w:tblGrid>
      <w:tr w:rsidR="000867D4" w14:paraId="1ED79EA0" w14:textId="77777777" w:rsidTr="00575692">
        <w:tc>
          <w:tcPr>
            <w:tcW w:w="468" w:type="dxa"/>
          </w:tcPr>
          <w:p w14:paraId="4508520B" w14:textId="77777777" w:rsidR="000867D4" w:rsidRDefault="000867D4" w:rsidP="00575692">
            <w:r>
              <w:t>A</w:t>
            </w:r>
          </w:p>
        </w:tc>
        <w:tc>
          <w:tcPr>
            <w:tcW w:w="3960" w:type="dxa"/>
          </w:tcPr>
          <w:p w14:paraId="6B4038D3" w14:textId="77777777" w:rsidR="000867D4" w:rsidRPr="00C8109E" w:rsidRDefault="000867D4" w:rsidP="00575692">
            <w:pPr>
              <w:rPr>
                <w:rFonts w:ascii="Times" w:hAnsi="Times"/>
                <w:szCs w:val="20"/>
              </w:rPr>
            </w:pPr>
            <w:r w:rsidRPr="00C8109E">
              <w:rPr>
                <w:rFonts w:ascii="Times" w:hAnsi="Times"/>
                <w:szCs w:val="20"/>
              </w:rPr>
              <w:t>Adversary System</w:t>
            </w:r>
          </w:p>
        </w:tc>
        <w:tc>
          <w:tcPr>
            <w:tcW w:w="412" w:type="dxa"/>
          </w:tcPr>
          <w:p w14:paraId="19D0E5C6" w14:textId="77777777" w:rsidR="000867D4" w:rsidRPr="00C8109E" w:rsidRDefault="000867D4" w:rsidP="00575692">
            <w:r>
              <w:t>K</w:t>
            </w:r>
          </w:p>
        </w:tc>
        <w:tc>
          <w:tcPr>
            <w:tcW w:w="4736" w:type="dxa"/>
          </w:tcPr>
          <w:p w14:paraId="7E0B9ECA" w14:textId="77777777" w:rsidR="000867D4" w:rsidRPr="00C8109E" w:rsidRDefault="000867D4" w:rsidP="00575692">
            <w:pPr>
              <w:rPr>
                <w:rFonts w:ascii="Times" w:hAnsi="Times"/>
                <w:szCs w:val="20"/>
              </w:rPr>
            </w:pPr>
            <w:r w:rsidRPr="00C8109E">
              <w:rPr>
                <w:rFonts w:ascii="Times" w:hAnsi="Times"/>
                <w:szCs w:val="20"/>
              </w:rPr>
              <w:t xml:space="preserve">Indictment </w:t>
            </w:r>
          </w:p>
        </w:tc>
      </w:tr>
      <w:tr w:rsidR="000867D4" w14:paraId="23226ECC" w14:textId="77777777" w:rsidTr="00575692">
        <w:tc>
          <w:tcPr>
            <w:tcW w:w="468" w:type="dxa"/>
          </w:tcPr>
          <w:p w14:paraId="50ED21B0" w14:textId="77777777" w:rsidR="000867D4" w:rsidRDefault="000867D4" w:rsidP="00575692">
            <w:r>
              <w:t>B</w:t>
            </w:r>
          </w:p>
        </w:tc>
        <w:tc>
          <w:tcPr>
            <w:tcW w:w="3960" w:type="dxa"/>
          </w:tcPr>
          <w:p w14:paraId="3432344E" w14:textId="77777777" w:rsidR="000867D4" w:rsidRPr="00C8109E" w:rsidRDefault="000867D4" w:rsidP="00575692">
            <w:pPr>
              <w:rPr>
                <w:rFonts w:ascii="Times" w:hAnsi="Times"/>
                <w:szCs w:val="20"/>
              </w:rPr>
            </w:pPr>
            <w:r w:rsidRPr="00C8109E">
              <w:rPr>
                <w:rFonts w:ascii="Times" w:hAnsi="Times"/>
                <w:szCs w:val="20"/>
              </w:rPr>
              <w:t xml:space="preserve">Arraignment </w:t>
            </w:r>
          </w:p>
        </w:tc>
        <w:tc>
          <w:tcPr>
            <w:tcW w:w="412" w:type="dxa"/>
          </w:tcPr>
          <w:p w14:paraId="050D663D" w14:textId="77777777" w:rsidR="000867D4" w:rsidRPr="00C8109E" w:rsidRDefault="000867D4" w:rsidP="00575692">
            <w:r>
              <w:t>L</w:t>
            </w:r>
          </w:p>
        </w:tc>
        <w:tc>
          <w:tcPr>
            <w:tcW w:w="4736" w:type="dxa"/>
          </w:tcPr>
          <w:p w14:paraId="6E17D3BA" w14:textId="77777777" w:rsidR="000867D4" w:rsidRPr="00C8109E" w:rsidRDefault="000867D4" w:rsidP="00575692">
            <w:pPr>
              <w:rPr>
                <w:rFonts w:ascii="Times" w:hAnsi="Times"/>
                <w:szCs w:val="20"/>
              </w:rPr>
            </w:pPr>
            <w:r w:rsidRPr="00C8109E">
              <w:rPr>
                <w:rFonts w:ascii="Times" w:hAnsi="Times"/>
                <w:szCs w:val="20"/>
              </w:rPr>
              <w:t xml:space="preserve">Information </w:t>
            </w:r>
          </w:p>
        </w:tc>
      </w:tr>
      <w:tr w:rsidR="000867D4" w14:paraId="033D0B46" w14:textId="77777777" w:rsidTr="00575692">
        <w:tc>
          <w:tcPr>
            <w:tcW w:w="468" w:type="dxa"/>
          </w:tcPr>
          <w:p w14:paraId="7B01550F" w14:textId="77777777" w:rsidR="000867D4" w:rsidRDefault="000867D4" w:rsidP="00575692">
            <w:r>
              <w:t>C</w:t>
            </w:r>
          </w:p>
        </w:tc>
        <w:tc>
          <w:tcPr>
            <w:tcW w:w="3960" w:type="dxa"/>
          </w:tcPr>
          <w:p w14:paraId="7D290F31" w14:textId="77777777" w:rsidR="000867D4" w:rsidRPr="00C8109E" w:rsidRDefault="000867D4" w:rsidP="00575692">
            <w:pPr>
              <w:rPr>
                <w:rFonts w:ascii="Times" w:hAnsi="Times"/>
                <w:szCs w:val="20"/>
              </w:rPr>
            </w:pPr>
            <w:r w:rsidRPr="00C8109E">
              <w:rPr>
                <w:rFonts w:ascii="Times" w:hAnsi="Times"/>
                <w:szCs w:val="20"/>
              </w:rPr>
              <w:t>Attorney General</w:t>
            </w:r>
          </w:p>
        </w:tc>
        <w:tc>
          <w:tcPr>
            <w:tcW w:w="412" w:type="dxa"/>
          </w:tcPr>
          <w:p w14:paraId="2B38B6A0" w14:textId="77777777" w:rsidR="000867D4" w:rsidRPr="00C8109E" w:rsidRDefault="000867D4" w:rsidP="00575692">
            <w:r>
              <w:t>M</w:t>
            </w:r>
          </w:p>
        </w:tc>
        <w:tc>
          <w:tcPr>
            <w:tcW w:w="4736" w:type="dxa"/>
          </w:tcPr>
          <w:p w14:paraId="39C2DA4A" w14:textId="77777777" w:rsidR="000867D4" w:rsidRPr="00C8109E" w:rsidRDefault="000867D4" w:rsidP="00575692">
            <w:pPr>
              <w:rPr>
                <w:rFonts w:ascii="Times" w:hAnsi="Times"/>
                <w:szCs w:val="20"/>
              </w:rPr>
            </w:pPr>
            <w:r w:rsidRPr="00C8109E">
              <w:rPr>
                <w:rFonts w:ascii="Times" w:hAnsi="Times"/>
                <w:szCs w:val="20"/>
              </w:rPr>
              <w:t xml:space="preserve">Initial Appearance </w:t>
            </w:r>
          </w:p>
        </w:tc>
      </w:tr>
      <w:tr w:rsidR="000867D4" w14:paraId="0E9C2512" w14:textId="77777777" w:rsidTr="00575692">
        <w:tc>
          <w:tcPr>
            <w:tcW w:w="468" w:type="dxa"/>
          </w:tcPr>
          <w:p w14:paraId="57E62D5B" w14:textId="77777777" w:rsidR="000867D4" w:rsidRDefault="000867D4" w:rsidP="00575692">
            <w:r>
              <w:t>D</w:t>
            </w:r>
          </w:p>
        </w:tc>
        <w:tc>
          <w:tcPr>
            <w:tcW w:w="3960" w:type="dxa"/>
          </w:tcPr>
          <w:p w14:paraId="3466ED5B" w14:textId="77777777" w:rsidR="000867D4" w:rsidRPr="00C8109E" w:rsidRDefault="000867D4" w:rsidP="00575692">
            <w:pPr>
              <w:rPr>
                <w:rFonts w:ascii="Times" w:hAnsi="Times"/>
                <w:szCs w:val="20"/>
              </w:rPr>
            </w:pPr>
            <w:r w:rsidRPr="00C8109E">
              <w:rPr>
                <w:rFonts w:ascii="Times" w:hAnsi="Times"/>
                <w:szCs w:val="20"/>
              </w:rPr>
              <w:t xml:space="preserve">Bail </w:t>
            </w:r>
          </w:p>
        </w:tc>
        <w:tc>
          <w:tcPr>
            <w:tcW w:w="412" w:type="dxa"/>
          </w:tcPr>
          <w:p w14:paraId="6BAC78C0" w14:textId="77777777" w:rsidR="000867D4" w:rsidRPr="00C8109E" w:rsidRDefault="000867D4" w:rsidP="00575692">
            <w:r>
              <w:t>N</w:t>
            </w:r>
          </w:p>
        </w:tc>
        <w:tc>
          <w:tcPr>
            <w:tcW w:w="4736" w:type="dxa"/>
          </w:tcPr>
          <w:p w14:paraId="52A13C89" w14:textId="77777777" w:rsidR="000867D4" w:rsidRPr="00C8109E" w:rsidRDefault="000867D4" w:rsidP="00575692">
            <w:pPr>
              <w:rPr>
                <w:rFonts w:ascii="Times" w:hAnsi="Times"/>
                <w:szCs w:val="20"/>
              </w:rPr>
            </w:pPr>
            <w:r w:rsidRPr="00C8109E">
              <w:rPr>
                <w:rFonts w:ascii="Times" w:hAnsi="Times"/>
                <w:szCs w:val="20"/>
              </w:rPr>
              <w:t xml:space="preserve">Nolo Contendere </w:t>
            </w:r>
          </w:p>
        </w:tc>
      </w:tr>
      <w:tr w:rsidR="000867D4" w14:paraId="73EEF317" w14:textId="77777777" w:rsidTr="00575692">
        <w:tc>
          <w:tcPr>
            <w:tcW w:w="468" w:type="dxa"/>
          </w:tcPr>
          <w:p w14:paraId="1746DA17" w14:textId="77777777" w:rsidR="000867D4" w:rsidRDefault="000867D4" w:rsidP="00575692">
            <w:r>
              <w:t>E</w:t>
            </w:r>
          </w:p>
        </w:tc>
        <w:tc>
          <w:tcPr>
            <w:tcW w:w="3960" w:type="dxa"/>
          </w:tcPr>
          <w:p w14:paraId="142960D3" w14:textId="77777777" w:rsidR="000867D4" w:rsidRPr="00C8109E" w:rsidRDefault="000867D4" w:rsidP="00575692">
            <w:pPr>
              <w:rPr>
                <w:rFonts w:ascii="Times" w:hAnsi="Times"/>
                <w:szCs w:val="20"/>
              </w:rPr>
            </w:pPr>
            <w:r w:rsidRPr="00C8109E">
              <w:rPr>
                <w:rFonts w:ascii="Times" w:hAnsi="Times"/>
                <w:szCs w:val="20"/>
              </w:rPr>
              <w:t xml:space="preserve">Bail Bondsperson </w:t>
            </w:r>
          </w:p>
        </w:tc>
        <w:tc>
          <w:tcPr>
            <w:tcW w:w="412" w:type="dxa"/>
          </w:tcPr>
          <w:p w14:paraId="12744889" w14:textId="77777777" w:rsidR="000867D4" w:rsidRPr="00C8109E" w:rsidRDefault="000867D4" w:rsidP="00575692">
            <w:r>
              <w:t>O</w:t>
            </w:r>
          </w:p>
        </w:tc>
        <w:tc>
          <w:tcPr>
            <w:tcW w:w="4736" w:type="dxa"/>
          </w:tcPr>
          <w:p w14:paraId="120F66FF" w14:textId="77777777" w:rsidR="000867D4" w:rsidRPr="00C8109E" w:rsidRDefault="000867D4" w:rsidP="00575692">
            <w:pPr>
              <w:rPr>
                <w:rFonts w:ascii="Times" w:hAnsi="Times"/>
                <w:szCs w:val="20"/>
              </w:rPr>
            </w:pPr>
            <w:r w:rsidRPr="00C8109E">
              <w:rPr>
                <w:rFonts w:ascii="Times" w:hAnsi="Times"/>
                <w:szCs w:val="20"/>
              </w:rPr>
              <w:t xml:space="preserve">Plea Bargaining </w:t>
            </w:r>
          </w:p>
        </w:tc>
      </w:tr>
      <w:tr w:rsidR="000867D4" w14:paraId="410BC153" w14:textId="77777777" w:rsidTr="00575692">
        <w:tc>
          <w:tcPr>
            <w:tcW w:w="468" w:type="dxa"/>
          </w:tcPr>
          <w:p w14:paraId="30F0AAE0" w14:textId="77777777" w:rsidR="000867D4" w:rsidRDefault="000867D4" w:rsidP="00575692">
            <w:r>
              <w:t>F</w:t>
            </w:r>
          </w:p>
        </w:tc>
        <w:tc>
          <w:tcPr>
            <w:tcW w:w="3960" w:type="dxa"/>
          </w:tcPr>
          <w:p w14:paraId="1BD80E0C" w14:textId="77777777" w:rsidR="000867D4" w:rsidRPr="00C8109E" w:rsidRDefault="000867D4" w:rsidP="00575692">
            <w:pPr>
              <w:rPr>
                <w:rFonts w:ascii="Times" w:hAnsi="Times"/>
                <w:szCs w:val="20"/>
              </w:rPr>
            </w:pPr>
            <w:r w:rsidRPr="00C8109E">
              <w:rPr>
                <w:rFonts w:ascii="Times" w:hAnsi="Times"/>
                <w:szCs w:val="20"/>
              </w:rPr>
              <w:t>Boykin Form</w:t>
            </w:r>
          </w:p>
        </w:tc>
        <w:tc>
          <w:tcPr>
            <w:tcW w:w="412" w:type="dxa"/>
          </w:tcPr>
          <w:p w14:paraId="4A9F9E74" w14:textId="77777777" w:rsidR="000867D4" w:rsidRPr="00C8109E" w:rsidRDefault="000867D4" w:rsidP="00575692">
            <w:r>
              <w:t>P</w:t>
            </w:r>
          </w:p>
        </w:tc>
        <w:tc>
          <w:tcPr>
            <w:tcW w:w="4736" w:type="dxa"/>
          </w:tcPr>
          <w:p w14:paraId="688E958A" w14:textId="77777777" w:rsidR="000867D4" w:rsidRPr="00C8109E" w:rsidRDefault="000867D4" w:rsidP="00575692">
            <w:pPr>
              <w:rPr>
                <w:rFonts w:ascii="Times" w:hAnsi="Times"/>
                <w:szCs w:val="20"/>
              </w:rPr>
            </w:pPr>
            <w:r w:rsidRPr="00C8109E">
              <w:rPr>
                <w:rFonts w:ascii="Times" w:hAnsi="Times"/>
                <w:szCs w:val="20"/>
              </w:rPr>
              <w:t>Preliminary Hearing</w:t>
            </w:r>
          </w:p>
        </w:tc>
      </w:tr>
      <w:tr w:rsidR="000867D4" w14:paraId="7DDEE3C4" w14:textId="77777777" w:rsidTr="00575692">
        <w:tc>
          <w:tcPr>
            <w:tcW w:w="468" w:type="dxa"/>
          </w:tcPr>
          <w:p w14:paraId="7B046018" w14:textId="77777777" w:rsidR="000867D4" w:rsidRDefault="000867D4" w:rsidP="00575692">
            <w:r>
              <w:t>G</w:t>
            </w:r>
          </w:p>
        </w:tc>
        <w:tc>
          <w:tcPr>
            <w:tcW w:w="3960" w:type="dxa"/>
          </w:tcPr>
          <w:p w14:paraId="71E77BD7" w14:textId="77777777" w:rsidR="000867D4" w:rsidRPr="00C8109E" w:rsidRDefault="000867D4" w:rsidP="00575692">
            <w:pPr>
              <w:rPr>
                <w:rFonts w:ascii="Times" w:hAnsi="Times"/>
                <w:szCs w:val="20"/>
              </w:rPr>
            </w:pPr>
            <w:r w:rsidRPr="00C8109E">
              <w:rPr>
                <w:rFonts w:ascii="Times" w:hAnsi="Times"/>
                <w:szCs w:val="20"/>
              </w:rPr>
              <w:t xml:space="preserve">Case Attrition </w:t>
            </w:r>
          </w:p>
        </w:tc>
        <w:tc>
          <w:tcPr>
            <w:tcW w:w="412" w:type="dxa"/>
          </w:tcPr>
          <w:p w14:paraId="5886E283" w14:textId="77777777" w:rsidR="000867D4" w:rsidRPr="00C8109E" w:rsidRDefault="000867D4" w:rsidP="00575692">
            <w:r>
              <w:t>Q</w:t>
            </w:r>
          </w:p>
        </w:tc>
        <w:tc>
          <w:tcPr>
            <w:tcW w:w="4736" w:type="dxa"/>
          </w:tcPr>
          <w:p w14:paraId="49AC9BB9" w14:textId="77777777" w:rsidR="000867D4" w:rsidRPr="00C8109E" w:rsidRDefault="000867D4" w:rsidP="00575692">
            <w:pPr>
              <w:rPr>
                <w:rFonts w:ascii="Times" w:hAnsi="Times"/>
                <w:szCs w:val="20"/>
              </w:rPr>
            </w:pPr>
            <w:r w:rsidRPr="00C8109E">
              <w:rPr>
                <w:rFonts w:ascii="Times" w:hAnsi="Times"/>
                <w:szCs w:val="20"/>
              </w:rPr>
              <w:t>Preventive Detention</w:t>
            </w:r>
          </w:p>
        </w:tc>
      </w:tr>
      <w:tr w:rsidR="000867D4" w14:paraId="359EDE0F" w14:textId="77777777" w:rsidTr="00575692">
        <w:tc>
          <w:tcPr>
            <w:tcW w:w="468" w:type="dxa"/>
          </w:tcPr>
          <w:p w14:paraId="6AD4D50E" w14:textId="77777777" w:rsidR="000867D4" w:rsidRDefault="000867D4" w:rsidP="00575692">
            <w:r>
              <w:t>H</w:t>
            </w:r>
          </w:p>
        </w:tc>
        <w:tc>
          <w:tcPr>
            <w:tcW w:w="3960" w:type="dxa"/>
          </w:tcPr>
          <w:p w14:paraId="01FE67DC" w14:textId="77777777" w:rsidR="000867D4" w:rsidRPr="00C8109E" w:rsidRDefault="000867D4" w:rsidP="00575692">
            <w:pPr>
              <w:rPr>
                <w:rFonts w:ascii="Times" w:hAnsi="Times"/>
                <w:szCs w:val="20"/>
              </w:rPr>
            </w:pPr>
            <w:r w:rsidRPr="00C8109E">
              <w:rPr>
                <w:rFonts w:ascii="Times" w:hAnsi="Times"/>
                <w:szCs w:val="20"/>
              </w:rPr>
              <w:t>Defense Attorney</w:t>
            </w:r>
          </w:p>
        </w:tc>
        <w:tc>
          <w:tcPr>
            <w:tcW w:w="412" w:type="dxa"/>
          </w:tcPr>
          <w:p w14:paraId="17E31A72" w14:textId="77777777" w:rsidR="000867D4" w:rsidRPr="00C8109E" w:rsidRDefault="000867D4" w:rsidP="00575692">
            <w:r>
              <w:t>R</w:t>
            </w:r>
          </w:p>
        </w:tc>
        <w:tc>
          <w:tcPr>
            <w:tcW w:w="4736" w:type="dxa"/>
          </w:tcPr>
          <w:p w14:paraId="7E7A51BE" w14:textId="77777777" w:rsidR="000867D4" w:rsidRPr="00C8109E" w:rsidRDefault="000867D4" w:rsidP="00575692">
            <w:pPr>
              <w:rPr>
                <w:rFonts w:ascii="Times" w:hAnsi="Times"/>
                <w:szCs w:val="20"/>
              </w:rPr>
            </w:pPr>
            <w:r w:rsidRPr="00C8109E">
              <w:rPr>
                <w:rFonts w:ascii="Times" w:hAnsi="Times"/>
                <w:szCs w:val="20"/>
              </w:rPr>
              <w:t>Public Defenders</w:t>
            </w:r>
          </w:p>
        </w:tc>
      </w:tr>
      <w:tr w:rsidR="000867D4" w14:paraId="21ACE2A3" w14:textId="77777777" w:rsidTr="00575692">
        <w:tc>
          <w:tcPr>
            <w:tcW w:w="468" w:type="dxa"/>
          </w:tcPr>
          <w:p w14:paraId="2AB9BEFD" w14:textId="77777777" w:rsidR="000867D4" w:rsidRDefault="000867D4" w:rsidP="00575692">
            <w:r>
              <w:t>I</w:t>
            </w:r>
          </w:p>
        </w:tc>
        <w:tc>
          <w:tcPr>
            <w:tcW w:w="3960" w:type="dxa"/>
          </w:tcPr>
          <w:p w14:paraId="32E0CC13" w14:textId="77777777" w:rsidR="000867D4" w:rsidRPr="00C8109E" w:rsidRDefault="000867D4" w:rsidP="00575692">
            <w:pPr>
              <w:rPr>
                <w:rFonts w:ascii="Times" w:hAnsi="Times"/>
                <w:szCs w:val="20"/>
              </w:rPr>
            </w:pPr>
            <w:r w:rsidRPr="00C8109E">
              <w:rPr>
                <w:rFonts w:ascii="Times" w:hAnsi="Times"/>
                <w:szCs w:val="20"/>
              </w:rPr>
              <w:t xml:space="preserve">Discovery </w:t>
            </w:r>
          </w:p>
        </w:tc>
        <w:tc>
          <w:tcPr>
            <w:tcW w:w="412" w:type="dxa"/>
          </w:tcPr>
          <w:p w14:paraId="7501B869" w14:textId="77777777" w:rsidR="000867D4" w:rsidRPr="00C8109E" w:rsidRDefault="000867D4" w:rsidP="00575692">
            <w:r>
              <w:t>S</w:t>
            </w:r>
          </w:p>
        </w:tc>
        <w:tc>
          <w:tcPr>
            <w:tcW w:w="4736" w:type="dxa"/>
          </w:tcPr>
          <w:p w14:paraId="5E0C873C" w14:textId="77777777" w:rsidR="000867D4" w:rsidRPr="00C8109E" w:rsidRDefault="000867D4" w:rsidP="00575692">
            <w:pPr>
              <w:rPr>
                <w:rFonts w:ascii="Times" w:hAnsi="Times"/>
                <w:szCs w:val="20"/>
              </w:rPr>
            </w:pPr>
            <w:r w:rsidRPr="00C8109E">
              <w:rPr>
                <w:rFonts w:ascii="Times" w:hAnsi="Times"/>
                <w:szCs w:val="20"/>
              </w:rPr>
              <w:t xml:space="preserve">Release on Recognizance (ROR) </w:t>
            </w:r>
          </w:p>
        </w:tc>
      </w:tr>
      <w:tr w:rsidR="000867D4" w14:paraId="705CB62A" w14:textId="77777777" w:rsidTr="00575692">
        <w:tc>
          <w:tcPr>
            <w:tcW w:w="468" w:type="dxa"/>
          </w:tcPr>
          <w:p w14:paraId="007F58E4" w14:textId="77777777" w:rsidR="000867D4" w:rsidRDefault="000867D4" w:rsidP="00575692">
            <w:r>
              <w:t>J</w:t>
            </w:r>
          </w:p>
        </w:tc>
        <w:tc>
          <w:tcPr>
            <w:tcW w:w="3960" w:type="dxa"/>
          </w:tcPr>
          <w:p w14:paraId="3081D5DB" w14:textId="77777777" w:rsidR="000867D4" w:rsidRPr="00C8109E" w:rsidRDefault="000867D4" w:rsidP="00575692">
            <w:pPr>
              <w:rPr>
                <w:rFonts w:ascii="Times" w:hAnsi="Times"/>
                <w:szCs w:val="20"/>
              </w:rPr>
            </w:pPr>
            <w:r w:rsidRPr="00C8109E">
              <w:rPr>
                <w:rFonts w:ascii="Times" w:hAnsi="Times"/>
                <w:szCs w:val="20"/>
              </w:rPr>
              <w:t xml:space="preserve">Grand Jury </w:t>
            </w:r>
          </w:p>
        </w:tc>
        <w:tc>
          <w:tcPr>
            <w:tcW w:w="412" w:type="dxa"/>
          </w:tcPr>
          <w:p w14:paraId="7FF600C8" w14:textId="77777777" w:rsidR="000867D4" w:rsidRPr="00C8109E" w:rsidRDefault="000867D4" w:rsidP="00575692">
            <w:r>
              <w:t>T</w:t>
            </w:r>
          </w:p>
        </w:tc>
        <w:tc>
          <w:tcPr>
            <w:tcW w:w="4736" w:type="dxa"/>
          </w:tcPr>
          <w:p w14:paraId="1B88F647" w14:textId="77777777" w:rsidR="000867D4" w:rsidRPr="00C8109E" w:rsidRDefault="000867D4" w:rsidP="00575692">
            <w:pPr>
              <w:rPr>
                <w:rFonts w:ascii="Times" w:hAnsi="Times"/>
                <w:szCs w:val="20"/>
              </w:rPr>
            </w:pPr>
            <w:r w:rsidRPr="00C8109E">
              <w:rPr>
                <w:rFonts w:ascii="Times" w:hAnsi="Times"/>
                <w:szCs w:val="20"/>
              </w:rPr>
              <w:t>Ten Percent Cash Bail</w:t>
            </w:r>
          </w:p>
        </w:tc>
      </w:tr>
      <w:tr w:rsidR="000867D4" w14:paraId="1D98352B" w14:textId="77777777" w:rsidTr="00575692">
        <w:tc>
          <w:tcPr>
            <w:tcW w:w="468" w:type="dxa"/>
          </w:tcPr>
          <w:p w14:paraId="2FC56830" w14:textId="77777777" w:rsidR="000867D4" w:rsidRDefault="000867D4" w:rsidP="00575692"/>
        </w:tc>
        <w:tc>
          <w:tcPr>
            <w:tcW w:w="3960" w:type="dxa"/>
          </w:tcPr>
          <w:p w14:paraId="433AC7E3" w14:textId="77777777" w:rsidR="000867D4" w:rsidRPr="00C8109E" w:rsidRDefault="000867D4" w:rsidP="00575692"/>
        </w:tc>
        <w:tc>
          <w:tcPr>
            <w:tcW w:w="412" w:type="dxa"/>
          </w:tcPr>
          <w:p w14:paraId="4113301F" w14:textId="77777777" w:rsidR="000867D4" w:rsidRPr="00C8109E" w:rsidRDefault="000867D4" w:rsidP="00575692"/>
        </w:tc>
        <w:tc>
          <w:tcPr>
            <w:tcW w:w="4736" w:type="dxa"/>
          </w:tcPr>
          <w:p w14:paraId="1829FB3E" w14:textId="77777777" w:rsidR="000867D4" w:rsidRPr="00C8109E" w:rsidRDefault="000867D4" w:rsidP="00575692"/>
        </w:tc>
      </w:tr>
    </w:tbl>
    <w:p w14:paraId="733C7C93" w14:textId="77777777" w:rsidR="000867D4" w:rsidRPr="006437CC" w:rsidRDefault="000867D4" w:rsidP="000867D4">
      <w:pPr>
        <w:rPr>
          <w:b/>
          <w:sz w:val="32"/>
        </w:rPr>
      </w:pPr>
    </w:p>
    <w:tbl>
      <w:tblPr>
        <w:tblW w:w="5000" w:type="pct"/>
        <w:tblCellSpacing w:w="0" w:type="dxa"/>
        <w:tblCellMar>
          <w:top w:w="80" w:type="dxa"/>
          <w:left w:w="80" w:type="dxa"/>
          <w:bottom w:w="80" w:type="dxa"/>
          <w:right w:w="80" w:type="dxa"/>
        </w:tblCellMar>
        <w:tblLook w:val="0000" w:firstRow="0" w:lastRow="0" w:firstColumn="0" w:lastColumn="0" w:noHBand="0" w:noVBand="0"/>
      </w:tblPr>
      <w:tblGrid>
        <w:gridCol w:w="1404"/>
        <w:gridCol w:w="7956"/>
      </w:tblGrid>
      <w:tr w:rsidR="006D375A" w:rsidRPr="00AF05D5" w14:paraId="762D7EBB" w14:textId="77777777" w:rsidTr="005B20BE">
        <w:trPr>
          <w:tblCellSpacing w:w="0" w:type="dxa"/>
        </w:trPr>
        <w:tc>
          <w:tcPr>
            <w:tcW w:w="750" w:type="pct"/>
          </w:tcPr>
          <w:p w14:paraId="7283F7F4" w14:textId="09F71548" w:rsidR="006D375A" w:rsidRPr="00AF05D5" w:rsidRDefault="006D375A" w:rsidP="006D375A">
            <w:pPr>
              <w:rPr>
                <w:rFonts w:ascii="Times" w:hAnsi="Times"/>
                <w:sz w:val="20"/>
                <w:szCs w:val="20"/>
              </w:rPr>
            </w:pPr>
          </w:p>
        </w:tc>
        <w:tc>
          <w:tcPr>
            <w:tcW w:w="0" w:type="auto"/>
            <w:vAlign w:val="center"/>
          </w:tcPr>
          <w:p w14:paraId="4BCC42DA" w14:textId="77777777" w:rsidR="006D375A" w:rsidRPr="00AF05D5" w:rsidRDefault="006D375A" w:rsidP="006D375A">
            <w:pPr>
              <w:rPr>
                <w:rFonts w:ascii="Times" w:hAnsi="Times"/>
                <w:sz w:val="20"/>
                <w:szCs w:val="20"/>
              </w:rPr>
            </w:pPr>
            <w:r w:rsidRPr="00AF05D5">
              <w:rPr>
                <w:rFonts w:ascii="Times" w:hAnsi="Times"/>
                <w:sz w:val="20"/>
                <w:szCs w:val="20"/>
              </w:rPr>
              <w:t xml:space="preserve">accused’s first appearance before a judge or magistrate following arrest; during the appearance, the defendant is informed of the charges, advised of the right to counsel, told the amount of bail, and given a date for the preliminary hearing. </w:t>
            </w:r>
          </w:p>
        </w:tc>
      </w:tr>
      <w:tr w:rsidR="006D375A" w:rsidRPr="00AF05D5" w14:paraId="438F3DB5" w14:textId="77777777" w:rsidTr="005B20BE">
        <w:trPr>
          <w:tblCellSpacing w:w="0" w:type="dxa"/>
        </w:trPr>
        <w:tc>
          <w:tcPr>
            <w:tcW w:w="750" w:type="pct"/>
          </w:tcPr>
          <w:p w14:paraId="10E8E858" w14:textId="77777777" w:rsidR="006D375A" w:rsidRDefault="006D375A" w:rsidP="006D375A">
            <w:pPr>
              <w:rPr>
                <w:rFonts w:ascii="Times" w:hAnsi="Times"/>
                <w:sz w:val="20"/>
                <w:szCs w:val="20"/>
              </w:rPr>
            </w:pPr>
          </w:p>
          <w:p w14:paraId="4A63CE75" w14:textId="515A512C"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71F44886" w14:textId="77777777" w:rsidR="006D375A" w:rsidRPr="00AF05D5" w:rsidRDefault="006D375A" w:rsidP="006D375A">
            <w:pPr>
              <w:rPr>
                <w:rFonts w:ascii="Times" w:hAnsi="Times"/>
                <w:sz w:val="20"/>
                <w:szCs w:val="20"/>
              </w:rPr>
            </w:pPr>
            <w:r>
              <w:rPr>
                <w:rFonts w:ascii="Times" w:hAnsi="Times"/>
                <w:sz w:val="20"/>
                <w:szCs w:val="20"/>
              </w:rPr>
              <w:t xml:space="preserve">alternative to traditional bail in which the defendants may gain pretrial release by posting ten percent of their bond amount to the court instead of seeking a bail bondsperson. </w:t>
            </w:r>
          </w:p>
        </w:tc>
      </w:tr>
      <w:tr w:rsidR="006D375A" w:rsidRPr="00AF05D5" w14:paraId="56A44206" w14:textId="77777777" w:rsidTr="005B20BE">
        <w:trPr>
          <w:tblCellSpacing w:w="0" w:type="dxa"/>
        </w:trPr>
        <w:tc>
          <w:tcPr>
            <w:tcW w:w="750" w:type="pct"/>
          </w:tcPr>
          <w:p w14:paraId="693F1A80" w14:textId="199131C9" w:rsidR="006D375A" w:rsidRPr="00AF05D5" w:rsidRDefault="006D375A" w:rsidP="006D375A">
            <w:pPr>
              <w:rPr>
                <w:rFonts w:ascii="Times" w:hAnsi="Times"/>
                <w:sz w:val="20"/>
                <w:szCs w:val="20"/>
              </w:rPr>
            </w:pPr>
          </w:p>
        </w:tc>
        <w:tc>
          <w:tcPr>
            <w:tcW w:w="0" w:type="auto"/>
            <w:vAlign w:val="center"/>
          </w:tcPr>
          <w:p w14:paraId="34E880DC" w14:textId="77777777" w:rsidR="006D375A" w:rsidRPr="00AF05D5" w:rsidRDefault="006D375A" w:rsidP="006D375A">
            <w:pPr>
              <w:rPr>
                <w:rFonts w:ascii="Times" w:hAnsi="Times"/>
                <w:sz w:val="20"/>
                <w:szCs w:val="20"/>
              </w:rPr>
            </w:pPr>
            <w:r w:rsidRPr="00AF05D5">
              <w:rPr>
                <w:rFonts w:ascii="Times" w:hAnsi="Times"/>
                <w:sz w:val="20"/>
                <w:szCs w:val="20"/>
              </w:rPr>
              <w:t xml:space="preserve">businessperson who agrees, for a fee, to pay the bail amount if the accused fails to appear in court as ordered. </w:t>
            </w:r>
          </w:p>
        </w:tc>
      </w:tr>
      <w:tr w:rsidR="006D375A" w:rsidRPr="00AF05D5" w14:paraId="3A6261E7" w14:textId="77777777" w:rsidTr="005B20BE">
        <w:trPr>
          <w:tblCellSpacing w:w="0" w:type="dxa"/>
        </w:trPr>
        <w:tc>
          <w:tcPr>
            <w:tcW w:w="750" w:type="pct"/>
          </w:tcPr>
          <w:p w14:paraId="7685D2AB" w14:textId="28B0352E"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06EFD8F2" w14:textId="77777777" w:rsidR="006D375A" w:rsidRPr="00AF05D5" w:rsidRDefault="006D375A" w:rsidP="006D375A">
            <w:pPr>
              <w:rPr>
                <w:rFonts w:ascii="Times" w:hAnsi="Times"/>
                <w:sz w:val="20"/>
                <w:szCs w:val="20"/>
              </w:rPr>
            </w:pPr>
            <w:r w:rsidRPr="00AF05D5">
              <w:rPr>
                <w:rFonts w:ascii="Times" w:hAnsi="Times"/>
                <w:sz w:val="20"/>
                <w:szCs w:val="20"/>
              </w:rPr>
              <w:t xml:space="preserve">charge or written accusation, issued by a grand jury, that probable cause exists to believe that a named person has committed a crime. </w:t>
            </w:r>
          </w:p>
        </w:tc>
      </w:tr>
      <w:tr w:rsidR="006D375A" w:rsidRPr="00AF05D5" w14:paraId="0EE32422" w14:textId="77777777" w:rsidTr="005B20BE">
        <w:trPr>
          <w:tblCellSpacing w:w="0" w:type="dxa"/>
        </w:trPr>
        <w:tc>
          <w:tcPr>
            <w:tcW w:w="750" w:type="pct"/>
          </w:tcPr>
          <w:p w14:paraId="6B52B847" w14:textId="0AF4F237" w:rsidR="006D375A" w:rsidRPr="00AF05D5" w:rsidRDefault="006D375A" w:rsidP="006D375A">
            <w:pPr>
              <w:rPr>
                <w:rFonts w:ascii="Times" w:hAnsi="Times"/>
                <w:sz w:val="20"/>
                <w:szCs w:val="20"/>
              </w:rPr>
            </w:pPr>
          </w:p>
        </w:tc>
        <w:tc>
          <w:tcPr>
            <w:tcW w:w="0" w:type="auto"/>
            <w:vAlign w:val="center"/>
          </w:tcPr>
          <w:p w14:paraId="5F746212" w14:textId="77777777" w:rsidR="006D375A" w:rsidRPr="00AF05D5" w:rsidRDefault="006D375A" w:rsidP="006D375A">
            <w:pPr>
              <w:rPr>
                <w:rFonts w:ascii="Times" w:hAnsi="Times"/>
                <w:sz w:val="20"/>
                <w:szCs w:val="20"/>
              </w:rPr>
            </w:pPr>
            <w:r w:rsidRPr="00AF05D5">
              <w:rPr>
                <w:rFonts w:ascii="Times" w:hAnsi="Times"/>
                <w:sz w:val="20"/>
                <w:szCs w:val="20"/>
              </w:rPr>
              <w:t xml:space="preserve">court proceeding in which the suspect is formally charged with the criminal offense stated in the indictment. The suspect enters a plea (guilty, not guilty, nolo contendere) in response. </w:t>
            </w:r>
          </w:p>
        </w:tc>
      </w:tr>
      <w:tr w:rsidR="006D375A" w:rsidRPr="00AF05D5" w14:paraId="619A5D69" w14:textId="77777777" w:rsidTr="005B20BE">
        <w:trPr>
          <w:tblCellSpacing w:w="0" w:type="dxa"/>
        </w:trPr>
        <w:tc>
          <w:tcPr>
            <w:tcW w:w="750" w:type="pct"/>
          </w:tcPr>
          <w:p w14:paraId="3AEDECCA" w14:textId="0F19AB0C"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54A1E350" w14:textId="77777777" w:rsidR="006D375A" w:rsidRPr="00AF05D5" w:rsidRDefault="006D375A" w:rsidP="006D375A">
            <w:pPr>
              <w:rPr>
                <w:rFonts w:ascii="Times" w:hAnsi="Times"/>
                <w:sz w:val="20"/>
                <w:szCs w:val="20"/>
              </w:rPr>
            </w:pPr>
            <w:r>
              <w:rPr>
                <w:rFonts w:ascii="Times" w:hAnsi="Times"/>
                <w:sz w:val="20"/>
                <w:szCs w:val="20"/>
              </w:rPr>
              <w:t xml:space="preserve">Court-appointed attorneys who are paid by the state to represent defendants who are unable to hire private counsel. </w:t>
            </w:r>
          </w:p>
        </w:tc>
      </w:tr>
      <w:tr w:rsidR="006D375A" w:rsidRPr="00AF05D5" w14:paraId="7F271315" w14:textId="77777777" w:rsidTr="005B20BE">
        <w:trPr>
          <w:tblCellSpacing w:w="0" w:type="dxa"/>
        </w:trPr>
        <w:tc>
          <w:tcPr>
            <w:tcW w:w="750" w:type="pct"/>
          </w:tcPr>
          <w:p w14:paraId="79FE6DD1" w14:textId="66C39D56" w:rsidR="006D375A" w:rsidRPr="00AF05D5" w:rsidRDefault="006D375A" w:rsidP="006D375A">
            <w:pPr>
              <w:rPr>
                <w:rFonts w:ascii="Times" w:hAnsi="Times"/>
                <w:sz w:val="20"/>
                <w:szCs w:val="20"/>
              </w:rPr>
            </w:pPr>
          </w:p>
        </w:tc>
        <w:tc>
          <w:tcPr>
            <w:tcW w:w="0" w:type="auto"/>
            <w:vAlign w:val="center"/>
          </w:tcPr>
          <w:p w14:paraId="30C7E19D" w14:textId="77777777" w:rsidR="006D375A" w:rsidRPr="00AF05D5" w:rsidRDefault="006D375A" w:rsidP="006D375A">
            <w:pPr>
              <w:rPr>
                <w:rFonts w:ascii="Times" w:hAnsi="Times"/>
                <w:sz w:val="20"/>
                <w:szCs w:val="20"/>
              </w:rPr>
            </w:pPr>
            <w:r>
              <w:rPr>
                <w:rFonts w:ascii="Times" w:hAnsi="Times"/>
                <w:sz w:val="20"/>
                <w:szCs w:val="20"/>
              </w:rPr>
              <w:t xml:space="preserve">form that must be completed by a defendant who pleads guilty; the defendant states that he or she has done so voluntarily and with full comprehension of the consequences. </w:t>
            </w:r>
          </w:p>
        </w:tc>
      </w:tr>
      <w:tr w:rsidR="006D375A" w:rsidRPr="00AF05D5" w14:paraId="26007385" w14:textId="77777777" w:rsidTr="005B20BE">
        <w:trPr>
          <w:tblCellSpacing w:w="0" w:type="dxa"/>
        </w:trPr>
        <w:tc>
          <w:tcPr>
            <w:tcW w:w="750" w:type="pct"/>
          </w:tcPr>
          <w:p w14:paraId="1913FEAC" w14:textId="03D9FB17"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2F1DD1A5" w14:textId="77777777" w:rsidR="006D375A" w:rsidRPr="00AF05D5" w:rsidRDefault="006D375A" w:rsidP="006D375A">
            <w:pPr>
              <w:rPr>
                <w:rFonts w:ascii="Times" w:hAnsi="Times"/>
                <w:sz w:val="20"/>
                <w:szCs w:val="20"/>
              </w:rPr>
            </w:pPr>
            <w:r w:rsidRPr="00AF05D5">
              <w:rPr>
                <w:rFonts w:ascii="Times" w:hAnsi="Times"/>
                <w:sz w:val="20"/>
                <w:szCs w:val="20"/>
              </w:rPr>
              <w:t xml:space="preserve">Formal investigation prior to trial. During discovery, the defense uses various methods to obtain information from the prosecution to prepare for trial. </w:t>
            </w:r>
          </w:p>
        </w:tc>
      </w:tr>
      <w:tr w:rsidR="006D375A" w:rsidRPr="00AF05D5" w14:paraId="35E08B9E" w14:textId="77777777" w:rsidTr="005B20BE">
        <w:trPr>
          <w:tblCellSpacing w:w="0" w:type="dxa"/>
        </w:trPr>
        <w:tc>
          <w:tcPr>
            <w:tcW w:w="750" w:type="pct"/>
          </w:tcPr>
          <w:p w14:paraId="7A5C8137" w14:textId="5C8241CC" w:rsidR="006D375A" w:rsidRPr="00AF05D5" w:rsidRDefault="006D375A" w:rsidP="006D375A">
            <w:pPr>
              <w:rPr>
                <w:rFonts w:ascii="Times" w:hAnsi="Times"/>
                <w:sz w:val="20"/>
                <w:szCs w:val="20"/>
              </w:rPr>
            </w:pPr>
          </w:p>
        </w:tc>
        <w:tc>
          <w:tcPr>
            <w:tcW w:w="0" w:type="auto"/>
            <w:vAlign w:val="center"/>
          </w:tcPr>
          <w:p w14:paraId="49D61B42" w14:textId="77777777" w:rsidR="006D375A" w:rsidRPr="00AF05D5" w:rsidRDefault="006D375A" w:rsidP="006D375A">
            <w:pPr>
              <w:rPr>
                <w:rFonts w:ascii="Times" w:hAnsi="Times"/>
                <w:sz w:val="20"/>
                <w:szCs w:val="20"/>
              </w:rPr>
            </w:pPr>
            <w:r>
              <w:rPr>
                <w:rFonts w:ascii="Times" w:hAnsi="Times"/>
                <w:sz w:val="20"/>
                <w:szCs w:val="20"/>
              </w:rPr>
              <w:t xml:space="preserve"> initial hearing in which a magistrate decides if there is probable cause to believe that the defendant committed the crime with which he or she is charged. </w:t>
            </w:r>
          </w:p>
        </w:tc>
      </w:tr>
      <w:tr w:rsidR="006D375A" w:rsidRPr="00AF05D5" w14:paraId="79114070" w14:textId="77777777" w:rsidTr="005B20BE">
        <w:trPr>
          <w:tblCellSpacing w:w="0" w:type="dxa"/>
        </w:trPr>
        <w:tc>
          <w:tcPr>
            <w:tcW w:w="750" w:type="pct"/>
          </w:tcPr>
          <w:p w14:paraId="025901AC" w14:textId="3AD858E2"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2BA1CBB9" w14:textId="77777777" w:rsidR="006D375A" w:rsidRPr="00AF05D5" w:rsidRDefault="006D375A" w:rsidP="006D375A">
            <w:pPr>
              <w:rPr>
                <w:rFonts w:ascii="Times" w:hAnsi="Times"/>
                <w:sz w:val="20"/>
                <w:szCs w:val="20"/>
              </w:rPr>
            </w:pPr>
            <w:r w:rsidRPr="00AF05D5">
              <w:rPr>
                <w:rFonts w:ascii="Times" w:hAnsi="Times"/>
                <w:sz w:val="20"/>
                <w:szCs w:val="20"/>
              </w:rPr>
              <w:t xml:space="preserve">judge’s order that releases an accused from jail with the understanding that he or she will return for further proceedings of his or her own will; used instead of setting a monetary bond. </w:t>
            </w:r>
          </w:p>
        </w:tc>
      </w:tr>
      <w:tr w:rsidR="006D375A" w:rsidRPr="00AF05D5" w14:paraId="22EA525D" w14:textId="77777777" w:rsidTr="005B20BE">
        <w:trPr>
          <w:tblCellSpacing w:w="0" w:type="dxa"/>
        </w:trPr>
        <w:tc>
          <w:tcPr>
            <w:tcW w:w="750" w:type="pct"/>
          </w:tcPr>
          <w:p w14:paraId="25E1FD6D" w14:textId="18D6B843" w:rsidR="006D375A" w:rsidRPr="00AF05D5" w:rsidRDefault="006D375A" w:rsidP="006D375A">
            <w:pPr>
              <w:rPr>
                <w:rFonts w:ascii="Times" w:hAnsi="Times"/>
                <w:sz w:val="20"/>
                <w:szCs w:val="20"/>
              </w:rPr>
            </w:pPr>
          </w:p>
        </w:tc>
        <w:tc>
          <w:tcPr>
            <w:tcW w:w="0" w:type="auto"/>
            <w:vAlign w:val="center"/>
          </w:tcPr>
          <w:p w14:paraId="69C4186F" w14:textId="77777777" w:rsidR="006D375A" w:rsidRPr="00AF05D5" w:rsidRDefault="006D375A" w:rsidP="006D375A">
            <w:pPr>
              <w:rPr>
                <w:rFonts w:ascii="Times" w:hAnsi="Times"/>
                <w:sz w:val="20"/>
                <w:szCs w:val="20"/>
              </w:rPr>
            </w:pPr>
            <w:r w:rsidRPr="00AF05D5">
              <w:rPr>
                <w:rFonts w:ascii="Times" w:hAnsi="Times"/>
                <w:sz w:val="20"/>
                <w:szCs w:val="20"/>
              </w:rPr>
              <w:t xml:space="preserve">Latin for “I will not contest it.” A criminal defendant’s plea, in which he or she chooses not to challenge, or contest, the charges brought by the government. Although the defendant may still be sentenced or fined, the plea neither admits nor denies guilt. </w:t>
            </w:r>
          </w:p>
        </w:tc>
      </w:tr>
      <w:tr w:rsidR="006D375A" w:rsidRPr="00AF05D5" w14:paraId="25415223" w14:textId="77777777" w:rsidTr="005B20BE">
        <w:trPr>
          <w:tblCellSpacing w:w="0" w:type="dxa"/>
        </w:trPr>
        <w:tc>
          <w:tcPr>
            <w:tcW w:w="750" w:type="pct"/>
          </w:tcPr>
          <w:p w14:paraId="12666CD0" w14:textId="20A087F6"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7E6935C9" w14:textId="77777777" w:rsidR="006D375A" w:rsidRPr="00AF05D5" w:rsidRDefault="006D375A" w:rsidP="006D375A">
            <w:pPr>
              <w:rPr>
                <w:rFonts w:ascii="Times" w:hAnsi="Times"/>
                <w:sz w:val="20"/>
                <w:szCs w:val="20"/>
              </w:rPr>
            </w:pPr>
            <w:r>
              <w:rPr>
                <w:rFonts w:ascii="Times" w:hAnsi="Times"/>
                <w:sz w:val="20"/>
                <w:szCs w:val="20"/>
              </w:rPr>
              <w:t xml:space="preserve"> legal system in which the prosecution and the defense are opponents, or adversaries, and present their cases in the light most favorable to themselves. The court arrives at a just solution based on the evidence presented by the contestants and determines who wins and who loses. </w:t>
            </w:r>
          </w:p>
        </w:tc>
      </w:tr>
      <w:tr w:rsidR="006D375A" w:rsidRPr="00AF05D5" w14:paraId="20D7287C" w14:textId="77777777" w:rsidTr="005B20BE">
        <w:trPr>
          <w:tblCellSpacing w:w="0" w:type="dxa"/>
        </w:trPr>
        <w:tc>
          <w:tcPr>
            <w:tcW w:w="750" w:type="pct"/>
          </w:tcPr>
          <w:p w14:paraId="55F8D4C4" w14:textId="498CB9D1" w:rsidR="006D375A" w:rsidRPr="00AF05D5" w:rsidRDefault="006D375A" w:rsidP="006D375A">
            <w:pPr>
              <w:rPr>
                <w:rFonts w:ascii="Times" w:hAnsi="Times"/>
                <w:sz w:val="20"/>
                <w:szCs w:val="20"/>
              </w:rPr>
            </w:pPr>
          </w:p>
        </w:tc>
        <w:tc>
          <w:tcPr>
            <w:tcW w:w="0" w:type="auto"/>
            <w:vAlign w:val="center"/>
          </w:tcPr>
          <w:p w14:paraId="46074B0E" w14:textId="77777777" w:rsidR="006D375A" w:rsidRPr="00AF05D5" w:rsidRDefault="006D375A" w:rsidP="006D375A">
            <w:pPr>
              <w:rPr>
                <w:rFonts w:ascii="Times" w:hAnsi="Times"/>
                <w:sz w:val="20"/>
                <w:szCs w:val="20"/>
              </w:rPr>
            </w:pPr>
            <w:r w:rsidRPr="00AF05D5">
              <w:rPr>
                <w:rFonts w:ascii="Times" w:hAnsi="Times"/>
                <w:sz w:val="20"/>
                <w:szCs w:val="20"/>
              </w:rPr>
              <w:t xml:space="preserve">The amount or conditions set by the court to ensure that an individual accused of a crime will appear for further criminal proceedings. If the accused person provides bail, whether in cash or by means of a bail bond, then she or he is released from jail. </w:t>
            </w:r>
          </w:p>
        </w:tc>
      </w:tr>
      <w:tr w:rsidR="006D375A" w:rsidRPr="00AF05D5" w14:paraId="3C29E3C2" w14:textId="77777777" w:rsidTr="005B20BE">
        <w:trPr>
          <w:tblCellSpacing w:w="0" w:type="dxa"/>
        </w:trPr>
        <w:tc>
          <w:tcPr>
            <w:tcW w:w="750" w:type="pct"/>
          </w:tcPr>
          <w:p w14:paraId="7938F310" w14:textId="329EBCE7"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18D19ABC" w14:textId="77777777" w:rsidR="006D375A" w:rsidRPr="00AF05D5" w:rsidRDefault="006D375A" w:rsidP="006D375A">
            <w:pPr>
              <w:rPr>
                <w:rFonts w:ascii="Times" w:hAnsi="Times"/>
                <w:sz w:val="20"/>
                <w:szCs w:val="20"/>
              </w:rPr>
            </w:pPr>
            <w:r>
              <w:rPr>
                <w:rFonts w:ascii="Times" w:hAnsi="Times"/>
                <w:sz w:val="20"/>
                <w:szCs w:val="20"/>
              </w:rPr>
              <w:t xml:space="preserve">The chief law enforcement officer of a state; also; the chief law enforcement officer of the nation.  </w:t>
            </w:r>
          </w:p>
        </w:tc>
      </w:tr>
      <w:tr w:rsidR="006D375A" w:rsidRPr="00AF05D5" w14:paraId="749E3521" w14:textId="77777777" w:rsidTr="005B20BE">
        <w:trPr>
          <w:tblCellSpacing w:w="0" w:type="dxa"/>
        </w:trPr>
        <w:tc>
          <w:tcPr>
            <w:tcW w:w="750" w:type="pct"/>
          </w:tcPr>
          <w:p w14:paraId="2E134B91" w14:textId="0EC1C2F0" w:rsidR="006D375A" w:rsidRPr="00AF05D5" w:rsidRDefault="006D375A" w:rsidP="006D375A">
            <w:pPr>
              <w:rPr>
                <w:rFonts w:ascii="Times" w:hAnsi="Times"/>
                <w:sz w:val="20"/>
                <w:szCs w:val="20"/>
              </w:rPr>
            </w:pPr>
          </w:p>
        </w:tc>
        <w:tc>
          <w:tcPr>
            <w:tcW w:w="0" w:type="auto"/>
            <w:vAlign w:val="center"/>
          </w:tcPr>
          <w:p w14:paraId="3546B518" w14:textId="77777777" w:rsidR="006D375A" w:rsidRPr="00AF05D5" w:rsidRDefault="006D375A" w:rsidP="006D375A">
            <w:pPr>
              <w:rPr>
                <w:rFonts w:ascii="Times" w:hAnsi="Times"/>
                <w:sz w:val="20"/>
                <w:szCs w:val="20"/>
              </w:rPr>
            </w:pPr>
            <w:r w:rsidRPr="00AF05D5">
              <w:rPr>
                <w:rFonts w:ascii="Times" w:hAnsi="Times"/>
                <w:sz w:val="20"/>
                <w:szCs w:val="20"/>
              </w:rPr>
              <w:t xml:space="preserve">The formal charge against the accused issued by the prosecutor after a preliminary hearing has found probable cause. </w:t>
            </w:r>
          </w:p>
        </w:tc>
      </w:tr>
      <w:tr w:rsidR="006D375A" w:rsidRPr="00AF05D5" w14:paraId="2DAE6999" w14:textId="77777777" w:rsidTr="005B20BE">
        <w:trPr>
          <w:trHeight w:val="667"/>
          <w:tblCellSpacing w:w="0" w:type="dxa"/>
        </w:trPr>
        <w:tc>
          <w:tcPr>
            <w:tcW w:w="750" w:type="pct"/>
          </w:tcPr>
          <w:p w14:paraId="746923E7" w14:textId="1434ED66"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00934AEF" w14:textId="77777777" w:rsidR="006D375A" w:rsidRPr="00AF05D5" w:rsidRDefault="006D375A" w:rsidP="006D375A">
            <w:pPr>
              <w:rPr>
                <w:rFonts w:ascii="Times" w:hAnsi="Times"/>
                <w:sz w:val="20"/>
                <w:szCs w:val="20"/>
              </w:rPr>
            </w:pPr>
            <w:r w:rsidRPr="00AF05D5">
              <w:rPr>
                <w:rFonts w:ascii="Times" w:hAnsi="Times"/>
                <w:sz w:val="20"/>
                <w:szCs w:val="20"/>
              </w:rPr>
              <w:t xml:space="preserve">The group of citizens called to decide whether probable cause exists to believe that a suspect committed the crime with which she or he has been charged. </w:t>
            </w:r>
          </w:p>
        </w:tc>
      </w:tr>
      <w:tr w:rsidR="006D375A" w:rsidRPr="00AF05D5" w14:paraId="7ACF682C" w14:textId="77777777" w:rsidTr="005B20BE">
        <w:trPr>
          <w:tblCellSpacing w:w="0" w:type="dxa"/>
        </w:trPr>
        <w:tc>
          <w:tcPr>
            <w:tcW w:w="750" w:type="pct"/>
          </w:tcPr>
          <w:p w14:paraId="1715E3F5" w14:textId="4D842C29" w:rsidR="006D375A" w:rsidRPr="00AF05D5" w:rsidRDefault="006D375A" w:rsidP="006D375A">
            <w:pPr>
              <w:rPr>
                <w:rFonts w:ascii="Times" w:hAnsi="Times"/>
                <w:sz w:val="20"/>
                <w:szCs w:val="20"/>
              </w:rPr>
            </w:pPr>
          </w:p>
        </w:tc>
        <w:tc>
          <w:tcPr>
            <w:tcW w:w="0" w:type="auto"/>
            <w:vAlign w:val="center"/>
          </w:tcPr>
          <w:p w14:paraId="3DD6F706" w14:textId="77777777" w:rsidR="006D375A" w:rsidRPr="00AF05D5" w:rsidRDefault="006D375A" w:rsidP="006D375A">
            <w:pPr>
              <w:rPr>
                <w:rFonts w:ascii="Times" w:hAnsi="Times"/>
                <w:sz w:val="20"/>
                <w:szCs w:val="20"/>
              </w:rPr>
            </w:pPr>
            <w:r>
              <w:rPr>
                <w:rFonts w:ascii="Times" w:hAnsi="Times"/>
                <w:sz w:val="20"/>
                <w:szCs w:val="20"/>
              </w:rPr>
              <w:t>The lawyer representing the defendant</w:t>
            </w:r>
          </w:p>
        </w:tc>
      </w:tr>
      <w:tr w:rsidR="006D375A" w:rsidRPr="00AF05D5" w14:paraId="40D98AC2" w14:textId="77777777" w:rsidTr="005B20BE">
        <w:trPr>
          <w:tblCellSpacing w:w="0" w:type="dxa"/>
        </w:trPr>
        <w:tc>
          <w:tcPr>
            <w:tcW w:w="750" w:type="pct"/>
          </w:tcPr>
          <w:p w14:paraId="01DC50FB" w14:textId="05F7C7A4"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7C1B5D5C" w14:textId="77777777" w:rsidR="006D375A" w:rsidRPr="00AF05D5" w:rsidRDefault="006D375A" w:rsidP="006D375A">
            <w:pPr>
              <w:rPr>
                <w:rFonts w:ascii="Times" w:hAnsi="Times"/>
                <w:sz w:val="20"/>
                <w:szCs w:val="20"/>
              </w:rPr>
            </w:pPr>
            <w:r w:rsidRPr="00AF05D5">
              <w:rPr>
                <w:rFonts w:ascii="Times" w:hAnsi="Times"/>
                <w:sz w:val="20"/>
                <w:szCs w:val="20"/>
              </w:rPr>
              <w:t xml:space="preserve">The process by which the accused and the prosecutor work out a mutually satisfactory conclusion to the case, subject to court approval. Usually, plea bargaining involves the defendant’s pleading guilty to a lesser offense in return for a lighter sentence. </w:t>
            </w:r>
          </w:p>
        </w:tc>
      </w:tr>
      <w:tr w:rsidR="006D375A" w:rsidRPr="00AF05D5" w14:paraId="414499C2" w14:textId="77777777" w:rsidTr="005B20BE">
        <w:trPr>
          <w:tblCellSpacing w:w="0" w:type="dxa"/>
        </w:trPr>
        <w:tc>
          <w:tcPr>
            <w:tcW w:w="750" w:type="pct"/>
          </w:tcPr>
          <w:p w14:paraId="74AD1A73" w14:textId="0DB2847F" w:rsidR="006D375A" w:rsidRPr="00AF05D5" w:rsidRDefault="006D375A" w:rsidP="006D375A">
            <w:pPr>
              <w:rPr>
                <w:rFonts w:ascii="Times" w:hAnsi="Times"/>
                <w:sz w:val="20"/>
                <w:szCs w:val="20"/>
              </w:rPr>
            </w:pPr>
          </w:p>
        </w:tc>
        <w:tc>
          <w:tcPr>
            <w:tcW w:w="0" w:type="auto"/>
            <w:vAlign w:val="center"/>
          </w:tcPr>
          <w:p w14:paraId="2FDCB626" w14:textId="77777777" w:rsidR="006D375A" w:rsidRPr="00AF05D5" w:rsidRDefault="006D375A" w:rsidP="006D375A">
            <w:pPr>
              <w:rPr>
                <w:rFonts w:ascii="Times" w:hAnsi="Times"/>
                <w:sz w:val="20"/>
                <w:szCs w:val="20"/>
              </w:rPr>
            </w:pPr>
            <w:r w:rsidRPr="00AF05D5">
              <w:rPr>
                <w:rFonts w:ascii="Times" w:hAnsi="Times"/>
                <w:sz w:val="20"/>
                <w:szCs w:val="20"/>
              </w:rPr>
              <w:t xml:space="preserve">The process through which prosecutors, by deciding whether or not to prosecute each person arrested, effect an overall reduction in the number of persons prosecuted. As a result, the number of persons convicted and sentenced is much smaller than the number of persons arrested. </w:t>
            </w:r>
          </w:p>
        </w:tc>
      </w:tr>
      <w:tr w:rsidR="006D375A" w:rsidRPr="00AF05D5" w14:paraId="14DA08EA" w14:textId="77777777" w:rsidTr="005B20BE">
        <w:trPr>
          <w:tblCellSpacing w:w="0" w:type="dxa"/>
        </w:trPr>
        <w:tc>
          <w:tcPr>
            <w:tcW w:w="750" w:type="pct"/>
          </w:tcPr>
          <w:p w14:paraId="7FCB8C07" w14:textId="3386B1A8" w:rsidR="006D375A" w:rsidRPr="00AF05D5" w:rsidRDefault="006D375A" w:rsidP="006D375A">
            <w:pPr>
              <w:rPr>
                <w:rFonts w:ascii="Times" w:hAnsi="Times"/>
                <w:sz w:val="20"/>
                <w:szCs w:val="20"/>
              </w:rPr>
            </w:pPr>
            <w:r w:rsidRPr="001A37B7">
              <w:rPr>
                <w:rFonts w:ascii="Times" w:hAnsi="Times"/>
                <w:sz w:val="20"/>
                <w:szCs w:val="20"/>
              </w:rPr>
              <w:t>____________</w:t>
            </w:r>
          </w:p>
        </w:tc>
        <w:tc>
          <w:tcPr>
            <w:tcW w:w="0" w:type="auto"/>
            <w:vAlign w:val="center"/>
          </w:tcPr>
          <w:p w14:paraId="3EC7DF9B" w14:textId="77777777" w:rsidR="006D375A" w:rsidRPr="00AF05D5" w:rsidRDefault="006D375A" w:rsidP="006D375A">
            <w:pPr>
              <w:rPr>
                <w:rFonts w:ascii="Times" w:hAnsi="Times"/>
                <w:sz w:val="20"/>
                <w:szCs w:val="20"/>
              </w:rPr>
            </w:pPr>
            <w:r>
              <w:rPr>
                <w:rFonts w:ascii="Times" w:hAnsi="Times"/>
                <w:sz w:val="20"/>
                <w:szCs w:val="20"/>
              </w:rPr>
              <w:t xml:space="preserve">The retention of an accused person in custody due to the fears that he or she will commit a crime if released before trial. </w:t>
            </w:r>
          </w:p>
        </w:tc>
      </w:tr>
    </w:tbl>
    <w:p w14:paraId="0B94B70D" w14:textId="77777777" w:rsidR="00ED2074" w:rsidRDefault="00ED2074"/>
    <w:p w14:paraId="633F307B" w14:textId="77777777" w:rsidR="00ED2074" w:rsidRDefault="00ED2074"/>
    <w:p w14:paraId="0A33D8D2" w14:textId="77777777" w:rsidR="00ED2074" w:rsidRDefault="00ED2074"/>
    <w:p w14:paraId="0211A69E" w14:textId="77777777" w:rsidR="00ED2074" w:rsidRDefault="00ED2074"/>
    <w:p w14:paraId="7A31A2F5" w14:textId="77777777" w:rsidR="00ED2074" w:rsidRDefault="00ED2074"/>
    <w:p w14:paraId="5D458D9C" w14:textId="77777777" w:rsidR="00ED2074" w:rsidRDefault="00ED2074"/>
    <w:p w14:paraId="50568D23" w14:textId="77777777" w:rsidR="00ED2074" w:rsidRDefault="00ED2074"/>
    <w:p w14:paraId="23714E09" w14:textId="77777777" w:rsidR="00ED2074" w:rsidRDefault="00ED2074"/>
    <w:sectPr w:rsidR="00ED2074" w:rsidSect="002501B0">
      <w:pgSz w:w="12240" w:h="15840"/>
      <w:pgMar w:top="720" w:right="1440" w:bottom="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B6"/>
    <w:rsid w:val="0000084B"/>
    <w:rsid w:val="000867D4"/>
    <w:rsid w:val="00155ECB"/>
    <w:rsid w:val="00164BFD"/>
    <w:rsid w:val="00187773"/>
    <w:rsid w:val="00203084"/>
    <w:rsid w:val="002501B0"/>
    <w:rsid w:val="0025788D"/>
    <w:rsid w:val="00281503"/>
    <w:rsid w:val="002D60A6"/>
    <w:rsid w:val="002F6C57"/>
    <w:rsid w:val="0030708B"/>
    <w:rsid w:val="003C0CD7"/>
    <w:rsid w:val="00446F72"/>
    <w:rsid w:val="004C2765"/>
    <w:rsid w:val="005033B3"/>
    <w:rsid w:val="0050511A"/>
    <w:rsid w:val="00507D00"/>
    <w:rsid w:val="00537D6C"/>
    <w:rsid w:val="00556FAA"/>
    <w:rsid w:val="00563FBB"/>
    <w:rsid w:val="005821B6"/>
    <w:rsid w:val="005B20BE"/>
    <w:rsid w:val="005C7558"/>
    <w:rsid w:val="005E2B6B"/>
    <w:rsid w:val="005F36DC"/>
    <w:rsid w:val="006437CC"/>
    <w:rsid w:val="006D375A"/>
    <w:rsid w:val="007C499B"/>
    <w:rsid w:val="007E07CE"/>
    <w:rsid w:val="008367C8"/>
    <w:rsid w:val="00856A17"/>
    <w:rsid w:val="008C0592"/>
    <w:rsid w:val="009F278C"/>
    <w:rsid w:val="00A559EA"/>
    <w:rsid w:val="00AA7123"/>
    <w:rsid w:val="00AF05D5"/>
    <w:rsid w:val="00AF354F"/>
    <w:rsid w:val="00B1482D"/>
    <w:rsid w:val="00B33808"/>
    <w:rsid w:val="00B631BE"/>
    <w:rsid w:val="00B80FC7"/>
    <w:rsid w:val="00BC47B6"/>
    <w:rsid w:val="00C039D7"/>
    <w:rsid w:val="00C344A1"/>
    <w:rsid w:val="00C434FC"/>
    <w:rsid w:val="00D37B93"/>
    <w:rsid w:val="00DF529A"/>
    <w:rsid w:val="00EB65F2"/>
    <w:rsid w:val="00ED2074"/>
    <w:rsid w:val="00F33234"/>
    <w:rsid w:val="00F405EC"/>
    <w:rsid w:val="00F445E6"/>
    <w:rsid w:val="00F94B01"/>
    <w:rsid w:val="00FD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07FA82"/>
  <w15:docId w15:val="{93506E1D-D493-ED43-AF05-92402D4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2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B20BE"/>
    <w:rPr>
      <w:rFonts w:ascii="Lucida Grande" w:hAnsi="Lucida Grande" w:cs="Lucida Grande"/>
      <w:sz w:val="18"/>
      <w:szCs w:val="18"/>
    </w:rPr>
  </w:style>
  <w:style w:type="table" w:styleId="TableGrid">
    <w:name w:val="Table Grid"/>
    <w:basedOn w:val="TableNormal"/>
    <w:uiPriority w:val="99"/>
    <w:locked/>
    <w:rsid w:val="000867D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chwill@bartlettschools.org" TargetMode="External"/><Relationship Id="rId5" Type="http://schemas.openxmlformats.org/officeDocument/2006/relationships/hyperlink" Target="mailto:rriding@bartlettschools.org" TargetMode="External"/><Relationship Id="rId4" Type="http://schemas.openxmlformats.org/officeDocument/2006/relationships/hyperlink" Target="mailto:lrovery2@bartlet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3816</Characters>
  <Application>Microsoft Office Word</Application>
  <DocSecurity>0</DocSecurity>
  <Lines>31</Lines>
  <Paragraphs>8</Paragraphs>
  <ScaleCrop>false</ScaleCrop>
  <Company>Shelby County Schools</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Vocabulary</dc:title>
  <dc:subject/>
  <dc:creator>mdarby</dc:creator>
  <cp:keywords/>
  <dc:description/>
  <cp:lastModifiedBy>Schwill, Ray</cp:lastModifiedBy>
  <cp:revision>6</cp:revision>
  <cp:lastPrinted>2016-02-24T17:44:00Z</cp:lastPrinted>
  <dcterms:created xsi:type="dcterms:W3CDTF">2020-04-23T01:20:00Z</dcterms:created>
  <dcterms:modified xsi:type="dcterms:W3CDTF">2020-04-29T15:55:00Z</dcterms:modified>
</cp:coreProperties>
</file>