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F6DF" w14:textId="05087451" w:rsidR="0076612A" w:rsidRPr="00D97FCB" w:rsidRDefault="00B73C82" w:rsidP="00D97FCB">
      <w:pPr>
        <w:jc w:val="center"/>
        <w:rPr>
          <w:b/>
          <w:sz w:val="32"/>
          <w:szCs w:val="32"/>
          <w:u w:val="single"/>
        </w:rPr>
      </w:pPr>
      <w:r>
        <w:rPr>
          <w:b/>
          <w:sz w:val="32"/>
          <w:szCs w:val="32"/>
          <w:u w:val="single"/>
        </w:rPr>
        <w:t>Courts  Vocabulary</w:t>
      </w:r>
    </w:p>
    <w:p w14:paraId="54C0CB43" w14:textId="30630B9D" w:rsidR="003129E8" w:rsidRDefault="003129E8" w:rsidP="0076612A"/>
    <w:p w14:paraId="5F75E059" w14:textId="77777777" w:rsidR="00C26C99" w:rsidRPr="00897308" w:rsidRDefault="00C26C99" w:rsidP="00C26C99">
      <w:pPr>
        <w:rPr>
          <w:bCs/>
          <w:iCs/>
          <w:color w:val="FF0000"/>
          <w:sz w:val="28"/>
          <w:szCs w:val="28"/>
        </w:rPr>
      </w:pPr>
      <w:r w:rsidRPr="00897308">
        <w:rPr>
          <w:bCs/>
          <w:iCs/>
          <w:color w:val="FF0000"/>
          <w:sz w:val="28"/>
          <w:szCs w:val="28"/>
        </w:rPr>
        <w:t>Review the terms and then complete th</w:t>
      </w:r>
      <w:r>
        <w:rPr>
          <w:bCs/>
          <w:iCs/>
          <w:color w:val="FF0000"/>
          <w:sz w:val="28"/>
          <w:szCs w:val="28"/>
        </w:rPr>
        <w:t>e accompanying vocabulary</w:t>
      </w:r>
      <w:r w:rsidRPr="00897308">
        <w:rPr>
          <w:bCs/>
          <w:iCs/>
          <w:color w:val="FF0000"/>
          <w:sz w:val="28"/>
          <w:szCs w:val="28"/>
        </w:rPr>
        <w:t xml:space="preserve"> exercise, and email it to your Criminal Justice </w:t>
      </w:r>
      <w:r>
        <w:rPr>
          <w:bCs/>
          <w:iCs/>
          <w:color w:val="FF0000"/>
          <w:sz w:val="28"/>
          <w:szCs w:val="28"/>
        </w:rPr>
        <w:t>t</w:t>
      </w:r>
      <w:r w:rsidRPr="00897308">
        <w:rPr>
          <w:bCs/>
          <w:iCs/>
          <w:color w:val="FF0000"/>
          <w:sz w:val="28"/>
          <w:szCs w:val="28"/>
        </w:rPr>
        <w:t>eacher via email:</w:t>
      </w:r>
    </w:p>
    <w:p w14:paraId="482C9351" w14:textId="77777777" w:rsidR="00C26C99" w:rsidRPr="00897308" w:rsidRDefault="00C26C99" w:rsidP="00C26C99">
      <w:pPr>
        <w:rPr>
          <w:bCs/>
          <w:iCs/>
          <w:color w:val="FF0000"/>
          <w:sz w:val="28"/>
          <w:szCs w:val="28"/>
        </w:rPr>
      </w:pPr>
      <w:r>
        <w:rPr>
          <w:bCs/>
          <w:iCs/>
          <w:color w:val="FF0000"/>
          <w:sz w:val="28"/>
          <w:szCs w:val="28"/>
        </w:rPr>
        <w:fldChar w:fldCharType="begin"/>
      </w:r>
      <w:r>
        <w:rPr>
          <w:bCs/>
          <w:iCs/>
          <w:color w:val="FF0000"/>
          <w:sz w:val="28"/>
          <w:szCs w:val="28"/>
        </w:rPr>
        <w:instrText xml:space="preserve"> HYPERLINK "mailto:</w:instrText>
      </w:r>
      <w:r w:rsidRPr="00897308">
        <w:rPr>
          <w:bCs/>
          <w:iCs/>
          <w:color w:val="FF0000"/>
          <w:sz w:val="28"/>
          <w:szCs w:val="28"/>
        </w:rPr>
        <w:instrText>lrovery2@bartlettschools.org</w:instrText>
      </w:r>
      <w:r>
        <w:rPr>
          <w:bCs/>
          <w:iCs/>
          <w:color w:val="FF0000"/>
          <w:sz w:val="28"/>
          <w:szCs w:val="28"/>
        </w:rPr>
        <w:instrText xml:space="preserve">" </w:instrText>
      </w:r>
      <w:r>
        <w:rPr>
          <w:bCs/>
          <w:iCs/>
          <w:color w:val="FF0000"/>
          <w:sz w:val="28"/>
          <w:szCs w:val="28"/>
        </w:rPr>
        <w:fldChar w:fldCharType="separate"/>
      </w:r>
      <w:r w:rsidRPr="00427759">
        <w:rPr>
          <w:rStyle w:val="Hyperlink"/>
          <w:bCs/>
          <w:iCs/>
          <w:sz w:val="28"/>
          <w:szCs w:val="28"/>
        </w:rPr>
        <w:t>lrovery2@bartlettschoo</w:t>
      </w:r>
      <w:r w:rsidRPr="00427759">
        <w:rPr>
          <w:rStyle w:val="Hyperlink"/>
          <w:bCs/>
          <w:iCs/>
          <w:sz w:val="28"/>
          <w:szCs w:val="28"/>
        </w:rPr>
        <w:t>l</w:t>
      </w:r>
      <w:r w:rsidRPr="00427759">
        <w:rPr>
          <w:rStyle w:val="Hyperlink"/>
          <w:bCs/>
          <w:iCs/>
          <w:sz w:val="28"/>
          <w:szCs w:val="28"/>
        </w:rPr>
        <w:t>s.org</w:t>
      </w:r>
      <w:r>
        <w:rPr>
          <w:bCs/>
          <w:iCs/>
          <w:color w:val="FF0000"/>
          <w:sz w:val="28"/>
          <w:szCs w:val="28"/>
        </w:rPr>
        <w:fldChar w:fldCharType="end"/>
      </w:r>
      <w:r w:rsidRPr="00897308">
        <w:rPr>
          <w:bCs/>
          <w:iCs/>
          <w:color w:val="FF0000"/>
          <w:sz w:val="28"/>
          <w:szCs w:val="28"/>
        </w:rPr>
        <w:t xml:space="preserve"> </w:t>
      </w:r>
    </w:p>
    <w:p w14:paraId="711C7439" w14:textId="77777777" w:rsidR="00C26C99" w:rsidRPr="00897308" w:rsidRDefault="00C26C99" w:rsidP="00C26C99">
      <w:pPr>
        <w:rPr>
          <w:bCs/>
          <w:iCs/>
          <w:color w:val="FF0000"/>
          <w:sz w:val="28"/>
          <w:szCs w:val="28"/>
        </w:rPr>
      </w:pPr>
      <w:hyperlink r:id="rId5" w:history="1">
        <w:r w:rsidRPr="00897308">
          <w:rPr>
            <w:rStyle w:val="Hyperlink"/>
            <w:bCs/>
            <w:iCs/>
            <w:color w:val="FF0000"/>
            <w:sz w:val="28"/>
            <w:szCs w:val="28"/>
          </w:rPr>
          <w:t>rriding@bartl</w:t>
        </w:r>
        <w:r w:rsidRPr="00897308">
          <w:rPr>
            <w:rStyle w:val="Hyperlink"/>
            <w:bCs/>
            <w:iCs/>
            <w:color w:val="FF0000"/>
            <w:sz w:val="28"/>
            <w:szCs w:val="28"/>
          </w:rPr>
          <w:t>e</w:t>
        </w:r>
        <w:r w:rsidRPr="00897308">
          <w:rPr>
            <w:rStyle w:val="Hyperlink"/>
            <w:bCs/>
            <w:iCs/>
            <w:color w:val="FF0000"/>
            <w:sz w:val="28"/>
            <w:szCs w:val="28"/>
          </w:rPr>
          <w:t>ttschools.org</w:t>
        </w:r>
      </w:hyperlink>
      <w:r w:rsidRPr="00897308">
        <w:rPr>
          <w:bCs/>
          <w:iCs/>
          <w:color w:val="FF0000"/>
          <w:sz w:val="28"/>
          <w:szCs w:val="28"/>
        </w:rPr>
        <w:t xml:space="preserve"> </w:t>
      </w:r>
    </w:p>
    <w:p w14:paraId="0D6CB777" w14:textId="6BA39AD4" w:rsidR="00201B52" w:rsidRDefault="00C26C99" w:rsidP="00C26C99">
      <w:pPr>
        <w:rPr>
          <w:bCs/>
          <w:iCs/>
          <w:color w:val="FF0000"/>
          <w:sz w:val="28"/>
          <w:szCs w:val="28"/>
        </w:rPr>
      </w:pPr>
      <w:hyperlink r:id="rId6" w:history="1">
        <w:r w:rsidRPr="00897308">
          <w:rPr>
            <w:rStyle w:val="Hyperlink"/>
            <w:bCs/>
            <w:iCs/>
            <w:color w:val="FF0000"/>
            <w:sz w:val="28"/>
            <w:szCs w:val="28"/>
          </w:rPr>
          <w:t>rschwill@bartlettschools.org</w:t>
        </w:r>
      </w:hyperlink>
    </w:p>
    <w:p w14:paraId="62C144C0" w14:textId="77777777" w:rsidR="002E1D11" w:rsidRDefault="002E1D11" w:rsidP="0076612A"/>
    <w:p w14:paraId="46801552" w14:textId="07AA2077" w:rsidR="003129E8" w:rsidRPr="00D97FCB" w:rsidRDefault="003129E8" w:rsidP="003129E8">
      <w:pPr>
        <w:spacing w:line="276" w:lineRule="auto"/>
        <w:rPr>
          <w:bCs/>
        </w:rPr>
      </w:pPr>
      <w:r w:rsidRPr="00D97FCB">
        <w:rPr>
          <w:bCs/>
        </w:rPr>
        <w:t>A Writ of Certiorari is a writ issued from an appellate court for the purpose of obtaining from a lower court the record of its proceedings in a particular case.</w:t>
      </w:r>
    </w:p>
    <w:p w14:paraId="18F97ADB" w14:textId="77777777" w:rsidR="003129E8" w:rsidRPr="00D97FCB" w:rsidRDefault="003129E8" w:rsidP="003129E8">
      <w:pPr>
        <w:spacing w:line="276" w:lineRule="auto"/>
        <w:rPr>
          <w:bCs/>
        </w:rPr>
      </w:pPr>
    </w:p>
    <w:p w14:paraId="24AC17C6" w14:textId="5844CE4B" w:rsidR="003129E8" w:rsidRPr="00D97FCB" w:rsidRDefault="003129E8" w:rsidP="003129E8">
      <w:pPr>
        <w:spacing w:line="276" w:lineRule="auto"/>
        <w:rPr>
          <w:bCs/>
        </w:rPr>
      </w:pPr>
      <w:r w:rsidRPr="00D97FCB">
        <w:rPr>
          <w:bCs/>
        </w:rPr>
        <w:t>“The Rule of Four - Four justices must vote in favor of a hearing for a case to be heard.</w:t>
      </w:r>
    </w:p>
    <w:p w14:paraId="62AAFAF2" w14:textId="77777777" w:rsidR="003129E8" w:rsidRPr="00D97FCB" w:rsidRDefault="003129E8" w:rsidP="003129E8">
      <w:pPr>
        <w:spacing w:line="276" w:lineRule="auto"/>
        <w:rPr>
          <w:bCs/>
        </w:rPr>
      </w:pPr>
    </w:p>
    <w:p w14:paraId="5469FEBD" w14:textId="21DB0BA1" w:rsidR="003129E8" w:rsidRPr="00D97FCB" w:rsidRDefault="00E90F6E" w:rsidP="003129E8">
      <w:pPr>
        <w:spacing w:line="276" w:lineRule="auto"/>
        <w:rPr>
          <w:bCs/>
        </w:rPr>
      </w:pPr>
      <w:r w:rsidRPr="00D97FCB">
        <w:rPr>
          <w:bCs/>
        </w:rPr>
        <w:t>Plea Bargaining … the process of negotiating an agreement among the defendant, the prosecutor, and the court as to an appropriate plea and associated sentence in a given case.</w:t>
      </w:r>
    </w:p>
    <w:p w14:paraId="03429E50" w14:textId="77777777" w:rsidR="003129E8" w:rsidRPr="00D97FCB" w:rsidRDefault="003129E8" w:rsidP="0076612A"/>
    <w:p w14:paraId="3F2DF388" w14:textId="2EC9FAF3" w:rsidR="00CF696F" w:rsidRPr="00D97FCB" w:rsidRDefault="00CF696F" w:rsidP="00D97FCB">
      <w:pPr>
        <w:spacing w:line="276" w:lineRule="auto"/>
        <w:rPr>
          <w:bCs/>
        </w:rPr>
      </w:pPr>
      <w:proofErr w:type="spellStart"/>
      <w:r w:rsidRPr="00D97FCB">
        <w:rPr>
          <w:bCs/>
        </w:rPr>
        <w:t>Voir</w:t>
      </w:r>
      <w:proofErr w:type="spellEnd"/>
      <w:r w:rsidRPr="00D97FCB">
        <w:rPr>
          <w:bCs/>
        </w:rPr>
        <w:t xml:space="preserve"> Dire</w:t>
      </w:r>
      <w:r w:rsidR="00D97FCB">
        <w:rPr>
          <w:bCs/>
        </w:rPr>
        <w:t xml:space="preserve"> - </w:t>
      </w:r>
      <w:r w:rsidRPr="00D97FCB">
        <w:rPr>
          <w:bCs/>
        </w:rPr>
        <w:t>“The truth” + “To speak” = “To speak the truth”</w:t>
      </w:r>
    </w:p>
    <w:p w14:paraId="35EC8460" w14:textId="77777777" w:rsidR="006047B7" w:rsidRPr="00D97FCB" w:rsidRDefault="006047B7" w:rsidP="00B63463">
      <w:pPr>
        <w:spacing w:line="276" w:lineRule="auto"/>
      </w:pPr>
    </w:p>
    <w:p w14:paraId="5E0D12B4" w14:textId="529CA1DE" w:rsidR="001D7104" w:rsidRPr="00D97FCB" w:rsidRDefault="001D7104" w:rsidP="001D7104">
      <w:pPr>
        <w:spacing w:line="276" w:lineRule="auto"/>
        <w:rPr>
          <w:bCs/>
        </w:rPr>
      </w:pPr>
      <w:r w:rsidRPr="00D97FCB">
        <w:rPr>
          <w:bCs/>
        </w:rPr>
        <w:t>Stare Decisis -Literally means “Let the decision stand”.  The doctrine that courts will abide by or adhere to the ruling of previous court decisions when deciding cases having substantially the same facts.</w:t>
      </w:r>
    </w:p>
    <w:p w14:paraId="4D9F2BB1" w14:textId="77777777" w:rsidR="006047B7" w:rsidRPr="00D97FCB" w:rsidRDefault="006047B7" w:rsidP="00B63463">
      <w:pPr>
        <w:spacing w:line="276" w:lineRule="auto"/>
      </w:pPr>
    </w:p>
    <w:p w14:paraId="13894AE2" w14:textId="19FC0986" w:rsidR="001D7104" w:rsidRPr="00D97FCB" w:rsidRDefault="001D7104" w:rsidP="001D7104">
      <w:pPr>
        <w:spacing w:line="276" w:lineRule="auto"/>
      </w:pPr>
      <w:r w:rsidRPr="00D97FCB">
        <w:rPr>
          <w:bCs/>
        </w:rPr>
        <w:t>Discovery - A legal motion requesting the disclosure of information held by the opposing counsel and intended for use in the forthcoming trial</w:t>
      </w:r>
    </w:p>
    <w:p w14:paraId="5DFA986A" w14:textId="77777777" w:rsidR="001D7104" w:rsidRPr="00D97FCB" w:rsidRDefault="001D7104" w:rsidP="00B63463">
      <w:pPr>
        <w:spacing w:line="276" w:lineRule="auto"/>
      </w:pPr>
    </w:p>
    <w:p w14:paraId="37AEA61B" w14:textId="6D15F0A2" w:rsidR="001D7104" w:rsidRPr="00D97FCB" w:rsidRDefault="001D7104" w:rsidP="001D7104">
      <w:pPr>
        <w:spacing w:line="276" w:lineRule="auto"/>
        <w:rPr>
          <w:bCs/>
        </w:rPr>
      </w:pPr>
      <w:r w:rsidRPr="00D97FCB">
        <w:rPr>
          <w:bCs/>
        </w:rPr>
        <w:t>Habeas Corpus - A written court order requiring that the accused be taken to court to determine the legality of custody and confinement.  Also refers to writs that inmates file regarding the alleged illegality of their confinement or the conditions of that confinement</w:t>
      </w:r>
    </w:p>
    <w:p w14:paraId="6864F4A8" w14:textId="77777777" w:rsidR="001D7104" w:rsidRPr="00D97FCB" w:rsidRDefault="001D7104" w:rsidP="001D7104">
      <w:pPr>
        <w:spacing w:line="276" w:lineRule="auto"/>
        <w:rPr>
          <w:bCs/>
        </w:rPr>
      </w:pPr>
    </w:p>
    <w:p w14:paraId="746037F3" w14:textId="77777777" w:rsidR="001D7104" w:rsidRPr="00D97FCB" w:rsidRDefault="001D7104" w:rsidP="001D7104">
      <w:pPr>
        <w:spacing w:line="276" w:lineRule="auto"/>
        <w:rPr>
          <w:bCs/>
        </w:rPr>
      </w:pPr>
      <w:r w:rsidRPr="00D97FCB">
        <w:rPr>
          <w:bCs/>
        </w:rPr>
        <w:t>Lex Talionis - The law of retaliation/retribution, “an eye for an eye.”</w:t>
      </w:r>
    </w:p>
    <w:p w14:paraId="07835217" w14:textId="5C4A7A44" w:rsidR="001D7104" w:rsidRPr="00D97FCB" w:rsidRDefault="001D7104" w:rsidP="001D7104">
      <w:pPr>
        <w:spacing w:line="276" w:lineRule="auto"/>
        <w:rPr>
          <w:bCs/>
        </w:rPr>
      </w:pPr>
    </w:p>
    <w:p w14:paraId="6655EB50" w14:textId="77777777" w:rsidR="001D7104" w:rsidRPr="00D97FCB" w:rsidRDefault="001D7104" w:rsidP="001D7104">
      <w:pPr>
        <w:spacing w:line="276" w:lineRule="auto"/>
        <w:rPr>
          <w:bCs/>
        </w:rPr>
      </w:pPr>
      <w:proofErr w:type="spellStart"/>
      <w:r w:rsidRPr="00D97FCB">
        <w:rPr>
          <w:bCs/>
        </w:rPr>
        <w:t>Nolle</w:t>
      </w:r>
      <w:proofErr w:type="spellEnd"/>
      <w:r w:rsidRPr="00D97FCB">
        <w:rPr>
          <w:bCs/>
        </w:rPr>
        <w:t xml:space="preserve"> Prosequi - The Latin term for when a prosecutor dismisses charges against a defendant.</w:t>
      </w:r>
    </w:p>
    <w:p w14:paraId="613D15ED" w14:textId="4A0940B1" w:rsidR="001D7104" w:rsidRPr="00D97FCB" w:rsidRDefault="001D7104" w:rsidP="001D7104">
      <w:pPr>
        <w:spacing w:line="276" w:lineRule="auto"/>
        <w:rPr>
          <w:bCs/>
        </w:rPr>
      </w:pPr>
    </w:p>
    <w:p w14:paraId="25F83B18" w14:textId="77777777" w:rsidR="001D7104" w:rsidRPr="00D97FCB" w:rsidRDefault="001D7104" w:rsidP="001D7104">
      <w:pPr>
        <w:spacing w:line="276" w:lineRule="auto"/>
        <w:rPr>
          <w:bCs/>
        </w:rPr>
      </w:pPr>
      <w:r w:rsidRPr="00D97FCB">
        <w:rPr>
          <w:bCs/>
        </w:rPr>
        <w:t>Pro se - The Latin term for when defendants choose to defend themselves at trial</w:t>
      </w:r>
    </w:p>
    <w:p w14:paraId="11A6A54E" w14:textId="1417168F" w:rsidR="001D7104" w:rsidRPr="00D97FCB" w:rsidRDefault="001D7104" w:rsidP="001D7104">
      <w:pPr>
        <w:spacing w:line="276" w:lineRule="auto"/>
        <w:rPr>
          <w:bCs/>
        </w:rPr>
      </w:pPr>
    </w:p>
    <w:p w14:paraId="78C02181" w14:textId="77777777" w:rsidR="001D7104" w:rsidRPr="00D97FCB" w:rsidRDefault="001D7104" w:rsidP="001D7104">
      <w:pPr>
        <w:spacing w:line="276" w:lineRule="auto"/>
        <w:rPr>
          <w:bCs/>
        </w:rPr>
      </w:pPr>
      <w:r w:rsidRPr="00D97FCB">
        <w:rPr>
          <w:bCs/>
          <w:iCs/>
        </w:rPr>
        <w:t>Miranda v. Arizona</w:t>
      </w:r>
      <w:r w:rsidRPr="00D97FCB">
        <w:rPr>
          <w:bCs/>
        </w:rPr>
        <w:t xml:space="preserve"> (1966) - The U.S. Supreme Court reversed the conviction of Ernesto Miranda and, thereby, established guidelines for the police to follow in the interrogation of suspects.</w:t>
      </w:r>
    </w:p>
    <w:p w14:paraId="7788D31F" w14:textId="2E1124EF" w:rsidR="001D7104" w:rsidRPr="00D97FCB" w:rsidRDefault="001D7104" w:rsidP="001D7104">
      <w:pPr>
        <w:spacing w:line="276" w:lineRule="auto"/>
        <w:rPr>
          <w:bCs/>
        </w:rPr>
      </w:pPr>
    </w:p>
    <w:p w14:paraId="58D8DEC3" w14:textId="77777777" w:rsidR="00105A05" w:rsidRPr="00D97FCB" w:rsidRDefault="001D7104" w:rsidP="00105A05">
      <w:pPr>
        <w:spacing w:line="276" w:lineRule="auto"/>
        <w:rPr>
          <w:bCs/>
          <w:iCs/>
        </w:rPr>
      </w:pPr>
      <w:r w:rsidRPr="00D97FCB">
        <w:rPr>
          <w:bCs/>
          <w:iCs/>
        </w:rPr>
        <w:t xml:space="preserve">Tennessee v. Garner - </w:t>
      </w:r>
      <w:r w:rsidR="00105A05" w:rsidRPr="00D97FCB">
        <w:rPr>
          <w:bCs/>
          <w:iCs/>
        </w:rPr>
        <w:t>This court case held that under the Fourth Amendment, when a law enforcement officer is pursuing a fleeing suspect, he or she may use deadly force only to prevent escape if the officer has probably cause to believe that the suspect poses a significant threat of death or serious physical injury to the officer or others.</w:t>
      </w:r>
    </w:p>
    <w:p w14:paraId="0AD49B57" w14:textId="7FD67896" w:rsidR="001D7104" w:rsidRPr="00D97FCB" w:rsidRDefault="001D7104" w:rsidP="001D7104">
      <w:pPr>
        <w:spacing w:line="276" w:lineRule="auto"/>
        <w:rPr>
          <w:bCs/>
        </w:rPr>
      </w:pPr>
    </w:p>
    <w:p w14:paraId="0C3277C9" w14:textId="4CEB043C" w:rsidR="00AE01E3" w:rsidRDefault="00AE01E3" w:rsidP="00105A05">
      <w:pPr>
        <w:spacing w:line="276" w:lineRule="auto"/>
        <w:rPr>
          <w:bCs/>
          <w:iCs/>
        </w:rPr>
      </w:pPr>
      <w:r>
        <w:rPr>
          <w:bCs/>
        </w:rPr>
        <w:t xml:space="preserve">Graham v Conner </w:t>
      </w:r>
      <w:r w:rsidR="009D46F7">
        <w:rPr>
          <w:bCs/>
        </w:rPr>
        <w:t>–</w:t>
      </w:r>
      <w:r>
        <w:rPr>
          <w:bCs/>
        </w:rPr>
        <w:t xml:space="preserve"> </w:t>
      </w:r>
      <w:r w:rsidR="009D46F7">
        <w:rPr>
          <w:bCs/>
        </w:rPr>
        <w:t xml:space="preserve">the Court ruled </w:t>
      </w:r>
      <w:r w:rsidR="009D46F7">
        <w:t xml:space="preserve">that the use of any force by law enforcement should be judged by the "reasonableness of the moment."  </w:t>
      </w:r>
      <w:r w:rsidR="009D46F7">
        <w:rPr>
          <w:bCs/>
        </w:rPr>
        <w:t xml:space="preserve"> </w:t>
      </w:r>
    </w:p>
    <w:p w14:paraId="072A22C7" w14:textId="77777777" w:rsidR="00AE01E3" w:rsidRDefault="00AE01E3" w:rsidP="00105A05">
      <w:pPr>
        <w:spacing w:line="276" w:lineRule="auto"/>
        <w:rPr>
          <w:bCs/>
          <w:iCs/>
        </w:rPr>
      </w:pPr>
    </w:p>
    <w:p w14:paraId="6F81941F" w14:textId="4ADDD4E2" w:rsidR="00105A05" w:rsidRPr="00D97FCB" w:rsidRDefault="00105A05" w:rsidP="00105A05">
      <w:pPr>
        <w:spacing w:line="276" w:lineRule="auto"/>
        <w:rPr>
          <w:bCs/>
          <w:iCs/>
        </w:rPr>
      </w:pPr>
      <w:r w:rsidRPr="00D97FCB">
        <w:rPr>
          <w:bCs/>
          <w:iCs/>
        </w:rPr>
        <w:lastRenderedPageBreak/>
        <w:t>Batson v. Kentucky - This case held that the use of peremptory challenges against potential jurors in criminal cases violated the U.S. Constitution if the chall</w:t>
      </w:r>
      <w:r w:rsidR="004C173B">
        <w:rPr>
          <w:bCs/>
          <w:iCs/>
        </w:rPr>
        <w:t xml:space="preserve">enges were based solely on race, </w:t>
      </w:r>
      <w:r w:rsidR="004C173B">
        <w:rPr>
          <w:rFonts w:eastAsiaTheme="minorEastAsia"/>
          <w:color w:val="1C1C1C"/>
        </w:rPr>
        <w:t>violating the Equal Protection Clause</w:t>
      </w:r>
    </w:p>
    <w:p w14:paraId="3C8EEB9C" w14:textId="05EE82EB" w:rsidR="00105A05" w:rsidRPr="00D97FCB" w:rsidRDefault="00105A05" w:rsidP="001D7104">
      <w:pPr>
        <w:spacing w:line="276" w:lineRule="auto"/>
        <w:rPr>
          <w:bCs/>
        </w:rPr>
      </w:pPr>
    </w:p>
    <w:p w14:paraId="27BB78A0" w14:textId="260846F2" w:rsidR="00B73C82" w:rsidRPr="00B73C82" w:rsidRDefault="00B73C82" w:rsidP="00B73C82">
      <w:pPr>
        <w:spacing w:line="276" w:lineRule="auto"/>
        <w:rPr>
          <w:bCs/>
        </w:rPr>
      </w:pPr>
      <w:r w:rsidRPr="00B73C82">
        <w:rPr>
          <w:bCs/>
        </w:rPr>
        <w:t xml:space="preserve">Jeb v Alabama - </w:t>
      </w:r>
      <w:r w:rsidRPr="00B73C82">
        <w:rPr>
          <w:rFonts w:eastAsiaTheme="minorEastAsia"/>
          <w:color w:val="1C1C1C"/>
        </w:rPr>
        <w:t xml:space="preserve">case in which the </w:t>
      </w:r>
      <w:hyperlink r:id="rId7" w:history="1">
        <w:r w:rsidRPr="00B73C82">
          <w:rPr>
            <w:rFonts w:eastAsiaTheme="minorEastAsia"/>
            <w:color w:val="092F9D"/>
          </w:rPr>
          <w:t>Supreme Court of the United States</w:t>
        </w:r>
      </w:hyperlink>
      <w:r w:rsidRPr="00B73C82">
        <w:rPr>
          <w:rFonts w:eastAsiaTheme="minorEastAsia"/>
          <w:color w:val="1C1C1C"/>
        </w:rPr>
        <w:t xml:space="preserve"> held that making </w:t>
      </w:r>
      <w:hyperlink r:id="rId8" w:history="1">
        <w:r w:rsidRPr="00B73C82">
          <w:rPr>
            <w:rFonts w:eastAsiaTheme="minorEastAsia"/>
            <w:color w:val="092F9D"/>
          </w:rPr>
          <w:t>peremptory challenges</w:t>
        </w:r>
      </w:hyperlink>
      <w:r w:rsidRPr="00B73C82">
        <w:rPr>
          <w:rFonts w:eastAsiaTheme="minorEastAsia"/>
          <w:color w:val="1C1C1C"/>
        </w:rPr>
        <w:t xml:space="preserve"> based solely on a prospective juror's sex is unconstitutional.</w:t>
      </w:r>
      <w:r w:rsidR="004C173B">
        <w:rPr>
          <w:rFonts w:eastAsiaTheme="minorEastAsia"/>
          <w:color w:val="1C1C1C"/>
        </w:rPr>
        <w:t xml:space="preserve">, as it violated the Equal Protection Clause. </w:t>
      </w:r>
    </w:p>
    <w:p w14:paraId="60A8A718" w14:textId="77777777" w:rsidR="00105A05" w:rsidRPr="00D97FCB" w:rsidRDefault="00105A05" w:rsidP="00105A05">
      <w:pPr>
        <w:spacing w:line="276" w:lineRule="auto"/>
        <w:rPr>
          <w:bCs/>
          <w:iCs/>
        </w:rPr>
      </w:pPr>
      <w:r w:rsidRPr="00D97FCB">
        <w:rPr>
          <w:bCs/>
          <w:iCs/>
        </w:rPr>
        <w:t xml:space="preserve">Furman v. Georgia - This case halted the application of the death penalty because it was viewed to be cruel and unusual punishment which violated the Eighth Amendment of the U.S. Constitution.  </w:t>
      </w:r>
    </w:p>
    <w:p w14:paraId="2EFBCEF3" w14:textId="184BE964" w:rsidR="00105A05" w:rsidRPr="00D97FCB" w:rsidRDefault="00105A05" w:rsidP="001D7104">
      <w:pPr>
        <w:spacing w:line="276" w:lineRule="auto"/>
        <w:rPr>
          <w:bCs/>
        </w:rPr>
      </w:pPr>
    </w:p>
    <w:p w14:paraId="40358D5B" w14:textId="46A1668D" w:rsidR="001D7104" w:rsidRPr="00B73C82" w:rsidRDefault="00AE01E3" w:rsidP="001D7104">
      <w:pPr>
        <w:spacing w:line="276" w:lineRule="auto"/>
        <w:rPr>
          <w:bCs/>
        </w:rPr>
      </w:pPr>
      <w:r>
        <w:rPr>
          <w:bCs/>
        </w:rPr>
        <w:t xml:space="preserve">Terry v Ohio – </w:t>
      </w:r>
      <w:r w:rsidRPr="00B73C82">
        <w:rPr>
          <w:bCs/>
        </w:rPr>
        <w:t xml:space="preserve">Case that set the precedent for the ever-elusive definition of “reasonable “suspicion in the stop and frisk situations, saying the officer must have specific and arguable facts to support the decision to make a stop. </w:t>
      </w:r>
    </w:p>
    <w:p w14:paraId="16E9390D" w14:textId="77777777" w:rsidR="00AE01E3" w:rsidRDefault="00AE01E3" w:rsidP="001D7104">
      <w:pPr>
        <w:spacing w:line="276" w:lineRule="auto"/>
        <w:rPr>
          <w:bCs/>
        </w:rPr>
      </w:pPr>
    </w:p>
    <w:p w14:paraId="7D3411DE" w14:textId="77777777" w:rsidR="00AE01E3" w:rsidRPr="009D46F7" w:rsidRDefault="00AE01E3" w:rsidP="00AE01E3">
      <w:r>
        <w:rPr>
          <w:bCs/>
        </w:rPr>
        <w:t xml:space="preserve">Mapp v Ohio - </w:t>
      </w:r>
      <w:r>
        <w:t xml:space="preserve">case signaled a new willingness to </w:t>
      </w:r>
      <w:r w:rsidRPr="009D46F7">
        <w:t xml:space="preserve">apply the Fourth Amendment to both state and federal law enforcement officers. </w:t>
      </w:r>
    </w:p>
    <w:p w14:paraId="4F3205B7" w14:textId="212F5F9C" w:rsidR="00AE01E3" w:rsidRDefault="00AE01E3" w:rsidP="001D7104">
      <w:pPr>
        <w:spacing w:line="276" w:lineRule="auto"/>
        <w:rPr>
          <w:bCs/>
        </w:rPr>
      </w:pPr>
    </w:p>
    <w:p w14:paraId="6830001F" w14:textId="77777777" w:rsidR="00AE01E3" w:rsidRDefault="00AE01E3" w:rsidP="001D7104">
      <w:pPr>
        <w:spacing w:line="276" w:lineRule="auto"/>
        <w:rPr>
          <w:bCs/>
        </w:rPr>
      </w:pPr>
    </w:p>
    <w:p w14:paraId="48320BE4" w14:textId="318D1384" w:rsidR="00AE01E3" w:rsidRPr="00D97FCB" w:rsidRDefault="00AE01E3" w:rsidP="001D7104">
      <w:pPr>
        <w:spacing w:line="276" w:lineRule="auto"/>
        <w:rPr>
          <w:bCs/>
        </w:rPr>
      </w:pPr>
    </w:p>
    <w:p w14:paraId="58A62033" w14:textId="77777777" w:rsidR="007C7437" w:rsidRPr="00D97FCB" w:rsidRDefault="007C7437" w:rsidP="00C15A9D">
      <w:pPr>
        <w:spacing w:line="276" w:lineRule="auto"/>
      </w:pPr>
    </w:p>
    <w:sectPr w:rsidR="007C7437" w:rsidRPr="00D97FCB" w:rsidSect="00B6346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196"/>
    <w:multiLevelType w:val="hybridMultilevel"/>
    <w:tmpl w:val="42A2B93E"/>
    <w:lvl w:ilvl="0" w:tplc="F740ED52">
      <w:start w:val="1"/>
      <w:numFmt w:val="bullet"/>
      <w:lvlText w:val=""/>
      <w:lvlJc w:val="left"/>
      <w:pPr>
        <w:tabs>
          <w:tab w:val="num" w:pos="720"/>
        </w:tabs>
        <w:ind w:left="720" w:hanging="360"/>
      </w:pPr>
      <w:rPr>
        <w:rFonts w:ascii="Wingdings" w:hAnsi="Wingdings" w:hint="default"/>
      </w:rPr>
    </w:lvl>
    <w:lvl w:ilvl="1" w:tplc="274276B6" w:tentative="1">
      <w:start w:val="1"/>
      <w:numFmt w:val="bullet"/>
      <w:lvlText w:val=""/>
      <w:lvlJc w:val="left"/>
      <w:pPr>
        <w:tabs>
          <w:tab w:val="num" w:pos="1440"/>
        </w:tabs>
        <w:ind w:left="1440" w:hanging="360"/>
      </w:pPr>
      <w:rPr>
        <w:rFonts w:ascii="Wingdings" w:hAnsi="Wingdings" w:hint="default"/>
      </w:rPr>
    </w:lvl>
    <w:lvl w:ilvl="2" w:tplc="B50ADC1C">
      <w:start w:val="1"/>
      <w:numFmt w:val="bullet"/>
      <w:lvlText w:val=""/>
      <w:lvlJc w:val="left"/>
      <w:pPr>
        <w:tabs>
          <w:tab w:val="num" w:pos="2160"/>
        </w:tabs>
        <w:ind w:left="2160" w:hanging="360"/>
      </w:pPr>
      <w:rPr>
        <w:rFonts w:ascii="Wingdings" w:hAnsi="Wingdings" w:hint="default"/>
      </w:rPr>
    </w:lvl>
    <w:lvl w:ilvl="3" w:tplc="B510DD0A" w:tentative="1">
      <w:start w:val="1"/>
      <w:numFmt w:val="bullet"/>
      <w:lvlText w:val=""/>
      <w:lvlJc w:val="left"/>
      <w:pPr>
        <w:tabs>
          <w:tab w:val="num" w:pos="2880"/>
        </w:tabs>
        <w:ind w:left="2880" w:hanging="360"/>
      </w:pPr>
      <w:rPr>
        <w:rFonts w:ascii="Wingdings" w:hAnsi="Wingdings" w:hint="default"/>
      </w:rPr>
    </w:lvl>
    <w:lvl w:ilvl="4" w:tplc="84F4F5D4" w:tentative="1">
      <w:start w:val="1"/>
      <w:numFmt w:val="bullet"/>
      <w:lvlText w:val=""/>
      <w:lvlJc w:val="left"/>
      <w:pPr>
        <w:tabs>
          <w:tab w:val="num" w:pos="3600"/>
        </w:tabs>
        <w:ind w:left="3600" w:hanging="360"/>
      </w:pPr>
      <w:rPr>
        <w:rFonts w:ascii="Wingdings" w:hAnsi="Wingdings" w:hint="default"/>
      </w:rPr>
    </w:lvl>
    <w:lvl w:ilvl="5" w:tplc="86F26468" w:tentative="1">
      <w:start w:val="1"/>
      <w:numFmt w:val="bullet"/>
      <w:lvlText w:val=""/>
      <w:lvlJc w:val="left"/>
      <w:pPr>
        <w:tabs>
          <w:tab w:val="num" w:pos="4320"/>
        </w:tabs>
        <w:ind w:left="4320" w:hanging="360"/>
      </w:pPr>
      <w:rPr>
        <w:rFonts w:ascii="Wingdings" w:hAnsi="Wingdings" w:hint="default"/>
      </w:rPr>
    </w:lvl>
    <w:lvl w:ilvl="6" w:tplc="683C2570" w:tentative="1">
      <w:start w:val="1"/>
      <w:numFmt w:val="bullet"/>
      <w:lvlText w:val=""/>
      <w:lvlJc w:val="left"/>
      <w:pPr>
        <w:tabs>
          <w:tab w:val="num" w:pos="5040"/>
        </w:tabs>
        <w:ind w:left="5040" w:hanging="360"/>
      </w:pPr>
      <w:rPr>
        <w:rFonts w:ascii="Wingdings" w:hAnsi="Wingdings" w:hint="default"/>
      </w:rPr>
    </w:lvl>
    <w:lvl w:ilvl="7" w:tplc="8B76BA22" w:tentative="1">
      <w:start w:val="1"/>
      <w:numFmt w:val="bullet"/>
      <w:lvlText w:val=""/>
      <w:lvlJc w:val="left"/>
      <w:pPr>
        <w:tabs>
          <w:tab w:val="num" w:pos="5760"/>
        </w:tabs>
        <w:ind w:left="5760" w:hanging="360"/>
      </w:pPr>
      <w:rPr>
        <w:rFonts w:ascii="Wingdings" w:hAnsi="Wingdings" w:hint="default"/>
      </w:rPr>
    </w:lvl>
    <w:lvl w:ilvl="8" w:tplc="32DA455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105A05"/>
    <w:rsid w:val="001D7104"/>
    <w:rsid w:val="001F7293"/>
    <w:rsid w:val="00201B52"/>
    <w:rsid w:val="002E1D11"/>
    <w:rsid w:val="003129E8"/>
    <w:rsid w:val="004C173B"/>
    <w:rsid w:val="00521F93"/>
    <w:rsid w:val="00537D6C"/>
    <w:rsid w:val="005C0EDA"/>
    <w:rsid w:val="00602305"/>
    <w:rsid w:val="006047B7"/>
    <w:rsid w:val="0076612A"/>
    <w:rsid w:val="007C7437"/>
    <w:rsid w:val="008F0513"/>
    <w:rsid w:val="0098034D"/>
    <w:rsid w:val="009D46F7"/>
    <w:rsid w:val="00AE01E3"/>
    <w:rsid w:val="00AE2A19"/>
    <w:rsid w:val="00B63463"/>
    <w:rsid w:val="00B73C82"/>
    <w:rsid w:val="00C15A9D"/>
    <w:rsid w:val="00C26C99"/>
    <w:rsid w:val="00CF696F"/>
    <w:rsid w:val="00D97FCB"/>
    <w:rsid w:val="00E90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088F4"/>
  <w15:docId w15:val="{93506E1D-D493-ED43-AF05-92402D4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NormalWeb">
    <w:name w:val="Normal (Web)"/>
    <w:basedOn w:val="Normal"/>
    <w:uiPriority w:val="99"/>
    <w:semiHidden/>
    <w:unhideWhenUsed/>
    <w:rsid w:val="001D7104"/>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201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930">
      <w:bodyDiv w:val="1"/>
      <w:marLeft w:val="0"/>
      <w:marRight w:val="0"/>
      <w:marTop w:val="0"/>
      <w:marBottom w:val="0"/>
      <w:divBdr>
        <w:top w:val="none" w:sz="0" w:space="0" w:color="auto"/>
        <w:left w:val="none" w:sz="0" w:space="0" w:color="auto"/>
        <w:bottom w:val="none" w:sz="0" w:space="0" w:color="auto"/>
        <w:right w:val="none" w:sz="0" w:space="0" w:color="auto"/>
      </w:divBdr>
    </w:div>
    <w:div w:id="459222771">
      <w:bodyDiv w:val="1"/>
      <w:marLeft w:val="0"/>
      <w:marRight w:val="0"/>
      <w:marTop w:val="0"/>
      <w:marBottom w:val="0"/>
      <w:divBdr>
        <w:top w:val="none" w:sz="0" w:space="0" w:color="auto"/>
        <w:left w:val="none" w:sz="0" w:space="0" w:color="auto"/>
        <w:bottom w:val="none" w:sz="0" w:space="0" w:color="auto"/>
        <w:right w:val="none" w:sz="0" w:space="0" w:color="auto"/>
      </w:divBdr>
    </w:div>
    <w:div w:id="470564614">
      <w:bodyDiv w:val="1"/>
      <w:marLeft w:val="0"/>
      <w:marRight w:val="0"/>
      <w:marTop w:val="0"/>
      <w:marBottom w:val="0"/>
      <w:divBdr>
        <w:top w:val="none" w:sz="0" w:space="0" w:color="auto"/>
        <w:left w:val="none" w:sz="0" w:space="0" w:color="auto"/>
        <w:bottom w:val="none" w:sz="0" w:space="0" w:color="auto"/>
        <w:right w:val="none" w:sz="0" w:space="0" w:color="auto"/>
      </w:divBdr>
    </w:div>
    <w:div w:id="484663212">
      <w:bodyDiv w:val="1"/>
      <w:marLeft w:val="0"/>
      <w:marRight w:val="0"/>
      <w:marTop w:val="0"/>
      <w:marBottom w:val="0"/>
      <w:divBdr>
        <w:top w:val="none" w:sz="0" w:space="0" w:color="auto"/>
        <w:left w:val="none" w:sz="0" w:space="0" w:color="auto"/>
        <w:bottom w:val="none" w:sz="0" w:space="0" w:color="auto"/>
        <w:right w:val="none" w:sz="0" w:space="0" w:color="auto"/>
      </w:divBdr>
    </w:div>
    <w:div w:id="974145712">
      <w:bodyDiv w:val="1"/>
      <w:marLeft w:val="0"/>
      <w:marRight w:val="0"/>
      <w:marTop w:val="0"/>
      <w:marBottom w:val="0"/>
      <w:divBdr>
        <w:top w:val="none" w:sz="0" w:space="0" w:color="auto"/>
        <w:left w:val="none" w:sz="0" w:space="0" w:color="auto"/>
        <w:bottom w:val="none" w:sz="0" w:space="0" w:color="auto"/>
        <w:right w:val="none" w:sz="0" w:space="0" w:color="auto"/>
      </w:divBdr>
    </w:div>
    <w:div w:id="1048187176">
      <w:bodyDiv w:val="1"/>
      <w:marLeft w:val="0"/>
      <w:marRight w:val="0"/>
      <w:marTop w:val="0"/>
      <w:marBottom w:val="0"/>
      <w:divBdr>
        <w:top w:val="none" w:sz="0" w:space="0" w:color="auto"/>
        <w:left w:val="none" w:sz="0" w:space="0" w:color="auto"/>
        <w:bottom w:val="none" w:sz="0" w:space="0" w:color="auto"/>
        <w:right w:val="none" w:sz="0" w:space="0" w:color="auto"/>
      </w:divBdr>
    </w:div>
    <w:div w:id="1098673411">
      <w:bodyDiv w:val="1"/>
      <w:marLeft w:val="0"/>
      <w:marRight w:val="0"/>
      <w:marTop w:val="0"/>
      <w:marBottom w:val="0"/>
      <w:divBdr>
        <w:top w:val="none" w:sz="0" w:space="0" w:color="auto"/>
        <w:left w:val="none" w:sz="0" w:space="0" w:color="auto"/>
        <w:bottom w:val="none" w:sz="0" w:space="0" w:color="auto"/>
        <w:right w:val="none" w:sz="0" w:space="0" w:color="auto"/>
      </w:divBdr>
    </w:div>
    <w:div w:id="1187910080">
      <w:bodyDiv w:val="1"/>
      <w:marLeft w:val="0"/>
      <w:marRight w:val="0"/>
      <w:marTop w:val="0"/>
      <w:marBottom w:val="0"/>
      <w:divBdr>
        <w:top w:val="none" w:sz="0" w:space="0" w:color="auto"/>
        <w:left w:val="none" w:sz="0" w:space="0" w:color="auto"/>
        <w:bottom w:val="none" w:sz="0" w:space="0" w:color="auto"/>
        <w:right w:val="none" w:sz="0" w:space="0" w:color="auto"/>
      </w:divBdr>
    </w:div>
    <w:div w:id="1529753542">
      <w:bodyDiv w:val="1"/>
      <w:marLeft w:val="0"/>
      <w:marRight w:val="0"/>
      <w:marTop w:val="0"/>
      <w:marBottom w:val="0"/>
      <w:divBdr>
        <w:top w:val="none" w:sz="0" w:space="0" w:color="auto"/>
        <w:left w:val="none" w:sz="0" w:space="0" w:color="auto"/>
        <w:bottom w:val="none" w:sz="0" w:space="0" w:color="auto"/>
        <w:right w:val="none" w:sz="0" w:space="0" w:color="auto"/>
      </w:divBdr>
    </w:div>
    <w:div w:id="1562207091">
      <w:bodyDiv w:val="1"/>
      <w:marLeft w:val="0"/>
      <w:marRight w:val="0"/>
      <w:marTop w:val="0"/>
      <w:marBottom w:val="0"/>
      <w:divBdr>
        <w:top w:val="none" w:sz="0" w:space="0" w:color="auto"/>
        <w:left w:val="none" w:sz="0" w:space="0" w:color="auto"/>
        <w:bottom w:val="none" w:sz="0" w:space="0" w:color="auto"/>
        <w:right w:val="none" w:sz="0" w:space="0" w:color="auto"/>
      </w:divBdr>
    </w:div>
    <w:div w:id="1778598850">
      <w:bodyDiv w:val="1"/>
      <w:marLeft w:val="0"/>
      <w:marRight w:val="0"/>
      <w:marTop w:val="0"/>
      <w:marBottom w:val="0"/>
      <w:divBdr>
        <w:top w:val="none" w:sz="0" w:space="0" w:color="auto"/>
        <w:left w:val="none" w:sz="0" w:space="0" w:color="auto"/>
        <w:bottom w:val="none" w:sz="0" w:space="0" w:color="auto"/>
        <w:right w:val="none" w:sz="0" w:space="0" w:color="auto"/>
      </w:divBdr>
    </w:div>
    <w:div w:id="1816485759">
      <w:bodyDiv w:val="1"/>
      <w:marLeft w:val="0"/>
      <w:marRight w:val="0"/>
      <w:marTop w:val="0"/>
      <w:marBottom w:val="0"/>
      <w:divBdr>
        <w:top w:val="none" w:sz="0" w:space="0" w:color="auto"/>
        <w:left w:val="none" w:sz="0" w:space="0" w:color="auto"/>
        <w:bottom w:val="none" w:sz="0" w:space="0" w:color="auto"/>
        <w:right w:val="none" w:sz="0" w:space="0" w:color="auto"/>
      </w:divBdr>
    </w:div>
    <w:div w:id="1918436571">
      <w:bodyDiv w:val="1"/>
      <w:marLeft w:val="0"/>
      <w:marRight w:val="0"/>
      <w:marTop w:val="0"/>
      <w:marBottom w:val="0"/>
      <w:divBdr>
        <w:top w:val="none" w:sz="0" w:space="0" w:color="auto"/>
        <w:left w:val="none" w:sz="0" w:space="0" w:color="auto"/>
        <w:bottom w:val="none" w:sz="0" w:space="0" w:color="auto"/>
        <w:right w:val="none" w:sz="0" w:space="0" w:color="auto"/>
      </w:divBdr>
    </w:div>
    <w:div w:id="2054115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emptory_challenge" TargetMode="External"/><Relationship Id="rId3" Type="http://schemas.openxmlformats.org/officeDocument/2006/relationships/settings" Target="settings.xml"/><Relationship Id="rId7" Type="http://schemas.openxmlformats.org/officeDocument/2006/relationships/hyperlink" Target="https://en.wikipedia.org/wiki/Supreme_Court_of_the_United_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hwill@bartlettschools.org" TargetMode="External"/><Relationship Id="rId5" Type="http://schemas.openxmlformats.org/officeDocument/2006/relationships/hyperlink" Target="mailto:rriding@bartlett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3055</Characters>
  <Application>Microsoft Office Word</Application>
  <DocSecurity>0</DocSecurity>
  <Lines>25</Lines>
  <Paragraphs>7</Paragraphs>
  <ScaleCrop>false</ScaleCrop>
  <Company>Shelby County Schools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5</cp:revision>
  <cp:lastPrinted>2016-01-04T02:59:00Z</cp:lastPrinted>
  <dcterms:created xsi:type="dcterms:W3CDTF">2020-04-23T01:00:00Z</dcterms:created>
  <dcterms:modified xsi:type="dcterms:W3CDTF">2020-04-29T15:52:00Z</dcterms:modified>
</cp:coreProperties>
</file>